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38B" w:rsidRDefault="003B1AEA">
      <w:pPr>
        <w:ind w:left="-1276" w:right="567"/>
        <w:jc w:val="center"/>
        <w:rPr>
          <w:rFonts w:eastAsia="Times New Roman" w:cs="Arial"/>
          <w:b/>
          <w:i/>
          <w:color w:val="444444"/>
          <w:sz w:val="20"/>
          <w:szCs w:val="20"/>
          <w:u w:val="single"/>
        </w:rPr>
      </w:pPr>
      <w:r>
        <w:rPr>
          <w:noProof/>
          <w:lang w:eastAsia="fr-FR"/>
        </w:rPr>
        <w:drawing>
          <wp:anchor distT="0" distB="0" distL="71755" distR="0" simplePos="0" relativeHeight="251658246" behindDoc="0" locked="0" layoutInCell="0" allowOverlap="1">
            <wp:simplePos x="0" y="0"/>
            <wp:positionH relativeFrom="page">
              <wp:posOffset>402590</wp:posOffset>
            </wp:positionH>
            <wp:positionV relativeFrom="page">
              <wp:posOffset>415290</wp:posOffset>
            </wp:positionV>
            <wp:extent cx="7080250" cy="708025"/>
            <wp:effectExtent l="0" t="0" r="0" b="0"/>
            <wp:wrapSquare wrapText="bothSides"/>
            <wp:docPr id="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pic:cNvPicPr>
                      <a:picLocks noChangeAspect="1"/>
                      <a:extLst>
                        <a:ext uri="smNativeData">
                          <sm:smNativeData xmlns:ve="http://schemas.openxmlformats.org/markup-compatibility/2006" xmlns="" xmlns:o="urn:schemas-microsoft-com:office:office" xmlns:v="urn:schemas-microsoft-com:vml" xmlns:w10="urn:schemas-microsoft-com:office:word" xmlns:w="http://schemas.openxmlformats.org/wordprocessingml/2006/main" xmlns:sm="smNativeData" val="SMDATA_16_pZEf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I4rAABbBAAAjisAAFsEAAAAAg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KIAAAAAAAAAAAAAAAAAAAAAAAB6AgAAAAAAAAAAAACOAgAAjisAAFsEAAAAAAAAegIAAI4CAAA="/>
                        </a:ext>
                      </a:extLst>
                    </pic:cNvPicPr>
                  </pic:nvPicPr>
                  <pic:blipFill>
                    <a:blip r:embed="rId8" cstate="print"/>
                    <a:stretch>
                      <a:fillRect/>
                    </a:stretch>
                  </pic:blipFill>
                  <pic:spPr>
                    <a:xfrm>
                      <a:off x="0" y="0"/>
                      <a:ext cx="7080250" cy="708025"/>
                    </a:xfrm>
                    <a:prstGeom prst="rect">
                      <a:avLst/>
                    </a:prstGeom>
                    <a:noFill/>
                    <a:ln w="12700">
                      <a:noFill/>
                    </a:ln>
                  </pic:spPr>
                </pic:pic>
              </a:graphicData>
            </a:graphic>
          </wp:anchor>
        </w:drawing>
      </w:r>
    </w:p>
    <w:p w:rsidR="003F738B" w:rsidRDefault="003F738B">
      <w:pPr>
        <w:ind w:left="-1276" w:right="567"/>
        <w:jc w:val="center"/>
        <w:rPr>
          <w:rFonts w:eastAsia="Times New Roman" w:cs="Arial"/>
          <w:b/>
          <w:i/>
          <w:color w:val="444444"/>
          <w:sz w:val="20"/>
          <w:szCs w:val="20"/>
          <w:u w:val="single"/>
        </w:rPr>
      </w:pPr>
    </w:p>
    <w:p w:rsidR="003F738B" w:rsidRDefault="003F738B">
      <w:pPr>
        <w:ind w:left="-1276" w:right="567"/>
        <w:jc w:val="center"/>
        <w:rPr>
          <w:rFonts w:eastAsia="Times New Roman" w:cs="Arial"/>
          <w:b/>
          <w:i/>
          <w:color w:val="444444"/>
          <w:sz w:val="20"/>
          <w:szCs w:val="20"/>
          <w:u w:val="single"/>
        </w:rPr>
      </w:pPr>
    </w:p>
    <w:p w:rsidR="003F738B" w:rsidRDefault="003F738B">
      <w:pPr>
        <w:ind w:left="-1276" w:right="567"/>
        <w:jc w:val="center"/>
        <w:rPr>
          <w:rFonts w:eastAsia="Times New Roman" w:cs="Arial"/>
          <w:b/>
          <w:i/>
          <w:color w:val="444444"/>
          <w:sz w:val="20"/>
          <w:szCs w:val="20"/>
        </w:rPr>
      </w:pPr>
    </w:p>
    <w:p w:rsidR="003F738B" w:rsidRDefault="003F738B">
      <w:pPr>
        <w:ind w:left="-1276" w:right="567"/>
        <w:jc w:val="center"/>
        <w:rPr>
          <w:rFonts w:eastAsia="Times New Roman" w:cs="Arial"/>
          <w:b/>
          <w:i/>
          <w:color w:val="444444"/>
          <w:sz w:val="20"/>
          <w:szCs w:val="20"/>
        </w:rPr>
      </w:pPr>
    </w:p>
    <w:p w:rsidR="003F738B" w:rsidRDefault="003F738B">
      <w:pPr>
        <w:ind w:left="-1276" w:right="567"/>
        <w:jc w:val="center"/>
      </w:pPr>
    </w:p>
    <w:p w:rsidR="003F738B" w:rsidRDefault="003F738B">
      <w:pPr>
        <w:ind w:left="-1276" w:right="567"/>
        <w:jc w:val="center"/>
        <w:rPr>
          <w:rFonts w:ascii="Cambria" w:eastAsia="SimSun" w:hAnsi="Cambria"/>
          <w:b/>
          <w:caps/>
          <w:sz w:val="28"/>
          <w:szCs w:val="28"/>
        </w:rPr>
      </w:pPr>
    </w:p>
    <w:tbl>
      <w:tblPr>
        <w:tblW w:w="7385" w:type="dxa"/>
        <w:jc w:val="center"/>
        <w:tblCellMar>
          <w:left w:w="10" w:type="dxa"/>
          <w:right w:w="10" w:type="dxa"/>
        </w:tblCellMar>
        <w:tblLook w:val="0000" w:firstRow="0" w:lastRow="0" w:firstColumn="0" w:lastColumn="0" w:noHBand="0" w:noVBand="0"/>
      </w:tblPr>
      <w:tblGrid>
        <w:gridCol w:w="7385"/>
      </w:tblGrid>
      <w:tr w:rsidR="003F738B">
        <w:trPr>
          <w:jc w:val="center"/>
        </w:trPr>
        <w:tc>
          <w:tcPr>
            <w:tcW w:w="7385" w:type="dxa"/>
            <w:tcBorders>
              <w:top w:val="nil"/>
              <w:left w:val="nil"/>
              <w:bottom w:val="nil"/>
              <w:right w:val="nil"/>
              <w:tl2br w:val="nil"/>
              <w:tr2bl w:val="nil"/>
            </w:tcBorders>
            <w:tcMar>
              <w:top w:w="0" w:type="dxa"/>
              <w:left w:w="108" w:type="dxa"/>
              <w:bottom w:w="0" w:type="dxa"/>
              <w:right w:w="108" w:type="dxa"/>
            </w:tcMar>
            <w:vAlign w:val="center"/>
          </w:tcPr>
          <w:p w:rsidR="003F738B" w:rsidRDefault="003F738B">
            <w:pPr>
              <w:spacing w:after="0" w:line="240" w:lineRule="auto"/>
              <w:ind w:left="-1276" w:right="567"/>
              <w:rPr>
                <w:rFonts w:ascii="Cambria" w:eastAsia="SimSun" w:hAnsi="Cambria" w:cs="SimSun"/>
                <w:i/>
                <w:caps/>
                <w:sz w:val="36"/>
                <w:szCs w:val="36"/>
              </w:rPr>
            </w:pPr>
          </w:p>
          <w:p w:rsidR="003F738B" w:rsidRDefault="003B1AEA">
            <w:pPr>
              <w:spacing w:after="0" w:line="240" w:lineRule="auto"/>
              <w:ind w:left="-57" w:right="-34"/>
              <w:jc w:val="center"/>
              <w:rPr>
                <w:rFonts w:eastAsia="SimSun" w:cs="SimSun"/>
                <w:b/>
                <w:bCs/>
                <w:caps/>
                <w:color w:val="000099"/>
                <w:sz w:val="48"/>
                <w:szCs w:val="48"/>
              </w:rPr>
            </w:pPr>
            <w:r>
              <w:rPr>
                <w:rFonts w:eastAsia="SimSun" w:cs="SimSun"/>
                <w:b/>
                <w:bCs/>
                <w:caps/>
                <w:color w:val="000099"/>
                <w:sz w:val="48"/>
                <w:szCs w:val="48"/>
              </w:rPr>
              <w:t>CONTRIBUTION de l’APPEm</w:t>
            </w:r>
          </w:p>
          <w:p w:rsidR="003F738B" w:rsidRDefault="003B1AEA">
            <w:pPr>
              <w:spacing w:after="0" w:line="240" w:lineRule="auto"/>
              <w:ind w:left="-57" w:right="-34"/>
              <w:jc w:val="center"/>
              <w:rPr>
                <w:rFonts w:cs="SimSun"/>
                <w:b/>
                <w:bCs/>
                <w:color w:val="000099"/>
                <w:sz w:val="48"/>
                <w:szCs w:val="48"/>
              </w:rPr>
            </w:pPr>
            <w:r>
              <w:rPr>
                <w:rFonts w:cs="SimSun"/>
                <w:b/>
                <w:bCs/>
                <w:color w:val="000099"/>
                <w:sz w:val="48"/>
                <w:szCs w:val="48"/>
              </w:rPr>
              <w:t>AU</w:t>
            </w:r>
          </w:p>
          <w:p w:rsidR="003F738B" w:rsidRDefault="003B1AEA">
            <w:pPr>
              <w:spacing w:after="0" w:line="240" w:lineRule="auto"/>
              <w:ind w:left="-57" w:right="-34"/>
              <w:jc w:val="center"/>
              <w:rPr>
                <w:rFonts w:cs="SimSun"/>
                <w:b/>
                <w:bCs/>
                <w:color w:val="000099"/>
                <w:sz w:val="48"/>
                <w:szCs w:val="48"/>
              </w:rPr>
            </w:pPr>
            <w:r>
              <w:rPr>
                <w:rFonts w:cs="SimSun"/>
                <w:b/>
                <w:bCs/>
                <w:color w:val="000099"/>
                <w:sz w:val="48"/>
                <w:szCs w:val="48"/>
              </w:rPr>
              <w:t>PROJET DE SRADDET</w:t>
            </w:r>
          </w:p>
          <w:p w:rsidR="003F738B" w:rsidRDefault="003B1AEA">
            <w:pPr>
              <w:spacing w:after="0" w:line="240" w:lineRule="auto"/>
              <w:ind w:left="-57" w:right="-34"/>
              <w:jc w:val="center"/>
              <w:rPr>
                <w:rFonts w:cs="SimSun"/>
                <w:b/>
                <w:bCs/>
                <w:color w:val="000099"/>
                <w:sz w:val="48"/>
                <w:szCs w:val="48"/>
              </w:rPr>
            </w:pPr>
            <w:r>
              <w:rPr>
                <w:rFonts w:cs="SimSun"/>
                <w:b/>
                <w:bCs/>
                <w:color w:val="000099"/>
                <w:sz w:val="48"/>
                <w:szCs w:val="48"/>
              </w:rPr>
              <w:t>DE LA REGION AURA</w:t>
            </w:r>
          </w:p>
          <w:p w:rsidR="003F738B" w:rsidRDefault="003F738B">
            <w:pPr>
              <w:spacing w:after="0" w:line="240" w:lineRule="auto"/>
              <w:ind w:left="-1276" w:right="567"/>
              <w:rPr>
                <w:rFonts w:ascii="Cambria" w:eastAsia="SimSun" w:hAnsi="Cambria" w:cs="SimSun"/>
                <w:i/>
                <w:caps/>
                <w:sz w:val="36"/>
                <w:szCs w:val="36"/>
              </w:rPr>
            </w:pPr>
          </w:p>
        </w:tc>
      </w:tr>
    </w:tbl>
    <w:p w:rsidR="003F738B" w:rsidRDefault="003F738B">
      <w:pPr>
        <w:ind w:left="-1276" w:right="567"/>
        <w:jc w:val="center"/>
        <w:rPr>
          <w:rFonts w:ascii="Cambria" w:eastAsia="SimSun" w:hAnsi="Cambria"/>
          <w:b/>
          <w:caps/>
          <w:sz w:val="28"/>
          <w:szCs w:val="28"/>
        </w:rPr>
      </w:pPr>
    </w:p>
    <w:p w:rsidR="003F738B" w:rsidRDefault="003F738B">
      <w:pPr>
        <w:ind w:left="-1276" w:right="567"/>
        <w:jc w:val="center"/>
        <w:rPr>
          <w:rFonts w:ascii="Cambria" w:eastAsia="SimSun" w:hAnsi="Cambria"/>
          <w:caps/>
          <w:sz w:val="28"/>
          <w:szCs w:val="28"/>
        </w:rPr>
      </w:pPr>
    </w:p>
    <w:p w:rsidR="003F738B" w:rsidRPr="00A12D5E" w:rsidRDefault="005E24DC">
      <w:pPr>
        <w:ind w:left="-1276" w:right="567"/>
        <w:jc w:val="center"/>
        <w:rPr>
          <w:rFonts w:ascii="Cambria" w:eastAsia="SimSun" w:hAnsi="Cambria"/>
          <w:caps/>
          <w:sz w:val="24"/>
          <w:szCs w:val="24"/>
        </w:rPr>
      </w:pPr>
      <w:r w:rsidRPr="00A12D5E">
        <w:rPr>
          <w:rFonts w:ascii="Cambria" w:eastAsia="SimSun" w:hAnsi="Cambria"/>
          <w:caps/>
          <w:sz w:val="24"/>
          <w:szCs w:val="24"/>
        </w:rPr>
        <w:t xml:space="preserve">                      </w:t>
      </w:r>
      <w:r w:rsidR="00A25594">
        <w:rPr>
          <w:rFonts w:ascii="Cambria" w:eastAsia="SimSun" w:hAnsi="Cambria"/>
          <w:caps/>
          <w:sz w:val="24"/>
          <w:szCs w:val="24"/>
        </w:rPr>
        <w:t xml:space="preserve">19 </w:t>
      </w:r>
      <w:r w:rsidRPr="00A12D5E">
        <w:rPr>
          <w:rFonts w:ascii="Cambria" w:eastAsia="SimSun" w:hAnsi="Cambria"/>
          <w:caps/>
          <w:sz w:val="24"/>
          <w:szCs w:val="24"/>
        </w:rPr>
        <w:t>juin 2018</w:t>
      </w:r>
    </w:p>
    <w:p w:rsidR="003F738B" w:rsidRDefault="003F738B">
      <w:pPr>
        <w:ind w:left="-1276" w:right="567"/>
        <w:jc w:val="center"/>
        <w:rPr>
          <w:rFonts w:ascii="Cambria" w:eastAsia="SimSun" w:hAnsi="Cambria"/>
          <w:caps/>
          <w:sz w:val="28"/>
          <w:szCs w:val="28"/>
        </w:rPr>
      </w:pPr>
    </w:p>
    <w:p w:rsidR="003F738B" w:rsidRDefault="003F738B">
      <w:pPr>
        <w:ind w:left="-1276" w:right="567"/>
        <w:jc w:val="center"/>
        <w:rPr>
          <w:rFonts w:ascii="Cambria" w:eastAsia="SimSun" w:hAnsi="Cambria"/>
          <w:caps/>
          <w:sz w:val="28"/>
          <w:szCs w:val="28"/>
        </w:rPr>
      </w:pPr>
    </w:p>
    <w:p w:rsidR="003F738B" w:rsidRDefault="003F738B">
      <w:pPr>
        <w:ind w:left="-1276" w:right="567"/>
        <w:jc w:val="center"/>
        <w:rPr>
          <w:rFonts w:ascii="Cambria" w:eastAsia="SimSun" w:hAnsi="Cambria"/>
          <w:caps/>
          <w:sz w:val="28"/>
          <w:szCs w:val="28"/>
        </w:rPr>
      </w:pPr>
    </w:p>
    <w:p w:rsidR="003F738B" w:rsidRDefault="003F738B">
      <w:pPr>
        <w:ind w:left="-1276" w:right="567"/>
        <w:jc w:val="center"/>
        <w:rPr>
          <w:rFonts w:ascii="Cambria" w:eastAsia="SimSun" w:hAnsi="Cambria"/>
          <w:caps/>
          <w:sz w:val="28"/>
          <w:szCs w:val="28"/>
        </w:rPr>
      </w:pPr>
    </w:p>
    <w:p w:rsidR="003F738B" w:rsidRDefault="003F738B">
      <w:pPr>
        <w:ind w:left="-1276" w:right="567"/>
        <w:jc w:val="center"/>
        <w:rPr>
          <w:rFonts w:ascii="Cambria" w:eastAsia="SimSun" w:hAnsi="Cambria"/>
          <w:caps/>
          <w:sz w:val="28"/>
          <w:szCs w:val="28"/>
        </w:rPr>
      </w:pPr>
    </w:p>
    <w:p w:rsidR="003F738B" w:rsidRDefault="003F738B">
      <w:pPr>
        <w:ind w:left="-1276" w:right="567"/>
        <w:jc w:val="center"/>
        <w:rPr>
          <w:rFonts w:ascii="Cambria" w:eastAsia="SimSun" w:hAnsi="Cambria"/>
          <w:caps/>
          <w:sz w:val="28"/>
          <w:szCs w:val="28"/>
        </w:rPr>
      </w:pPr>
    </w:p>
    <w:p w:rsidR="003F738B" w:rsidRDefault="003F738B">
      <w:pPr>
        <w:ind w:left="-1276" w:right="567"/>
        <w:jc w:val="center"/>
        <w:rPr>
          <w:rFonts w:ascii="Cambria" w:eastAsia="SimSun" w:hAnsi="Cambria"/>
          <w:caps/>
          <w:sz w:val="28"/>
          <w:szCs w:val="28"/>
        </w:rPr>
      </w:pPr>
    </w:p>
    <w:p w:rsidR="003F738B" w:rsidRPr="00A12D5E" w:rsidRDefault="003B1AEA">
      <w:pPr>
        <w:spacing w:after="0"/>
        <w:ind w:right="567"/>
        <w:jc w:val="center"/>
        <w:rPr>
          <w:rFonts w:ascii="Arial" w:eastAsia="Arial" w:hAnsi="Arial" w:cs="Arial"/>
          <w:color w:val="000000"/>
        </w:rPr>
      </w:pPr>
      <w:r w:rsidRPr="00A12D5E">
        <w:rPr>
          <w:rFonts w:ascii="Arial" w:eastAsia="Arial" w:hAnsi="Arial" w:cs="Arial"/>
          <w:b/>
          <w:color w:val="000000"/>
        </w:rPr>
        <w:t xml:space="preserve">A.P.P.E.M. </w:t>
      </w:r>
      <w:r w:rsidRPr="00A12D5E">
        <w:rPr>
          <w:rFonts w:ascii="Arial" w:eastAsia="Arial" w:hAnsi="Arial" w:cs="Arial"/>
          <w:color w:val="000000"/>
        </w:rPr>
        <w:t xml:space="preserve"> </w:t>
      </w:r>
      <w:r w:rsidRPr="00A12D5E">
        <w:rPr>
          <w:rFonts w:ascii="Arial" w:eastAsia="Arial" w:hAnsi="Arial" w:cs="Arial"/>
          <w:b/>
          <w:bCs/>
          <w:color w:val="000000"/>
        </w:rPr>
        <w:t>A</w:t>
      </w:r>
      <w:r w:rsidRPr="00A12D5E">
        <w:rPr>
          <w:rFonts w:ascii="Arial" w:eastAsia="Arial" w:hAnsi="Arial" w:cs="Arial"/>
          <w:color w:val="000000"/>
        </w:rPr>
        <w:t xml:space="preserve">ssociation </w:t>
      </w:r>
      <w:r w:rsidRPr="00A12D5E">
        <w:rPr>
          <w:rFonts w:ascii="Arial" w:eastAsia="Arial" w:hAnsi="Arial" w:cs="Arial"/>
          <w:b/>
          <w:bCs/>
          <w:color w:val="000000"/>
        </w:rPr>
        <w:t>P</w:t>
      </w:r>
      <w:r w:rsidRPr="00A12D5E">
        <w:rPr>
          <w:rFonts w:ascii="Arial" w:eastAsia="Arial" w:hAnsi="Arial" w:cs="Arial"/>
          <w:color w:val="000000"/>
        </w:rPr>
        <w:t xml:space="preserve">our la </w:t>
      </w:r>
      <w:r w:rsidRPr="00A12D5E">
        <w:rPr>
          <w:rFonts w:ascii="Arial" w:eastAsia="Arial" w:hAnsi="Arial" w:cs="Arial"/>
          <w:b/>
          <w:bCs/>
          <w:color w:val="000000"/>
        </w:rPr>
        <w:t>P</w:t>
      </w:r>
      <w:r w:rsidRPr="00A12D5E">
        <w:rPr>
          <w:rFonts w:ascii="Arial" w:eastAsia="Arial" w:hAnsi="Arial" w:cs="Arial"/>
          <w:color w:val="000000"/>
        </w:rPr>
        <w:t xml:space="preserve">réservation des </w:t>
      </w:r>
      <w:r w:rsidRPr="00A12D5E">
        <w:rPr>
          <w:rFonts w:ascii="Arial" w:eastAsia="Arial" w:hAnsi="Arial" w:cs="Arial"/>
          <w:b/>
          <w:bCs/>
          <w:color w:val="000000"/>
        </w:rPr>
        <w:t>P</w:t>
      </w:r>
      <w:r w:rsidRPr="00A12D5E">
        <w:rPr>
          <w:rFonts w:ascii="Arial" w:eastAsia="Arial" w:hAnsi="Arial" w:cs="Arial"/>
          <w:color w:val="000000"/>
        </w:rPr>
        <w:t xml:space="preserve">aysages </w:t>
      </w:r>
      <w:r w:rsidRPr="00A12D5E">
        <w:rPr>
          <w:rFonts w:ascii="Arial" w:eastAsia="Arial" w:hAnsi="Arial" w:cs="Arial"/>
          <w:b/>
          <w:bCs/>
          <w:color w:val="000000"/>
        </w:rPr>
        <w:t>E</w:t>
      </w:r>
      <w:r w:rsidRPr="00A12D5E">
        <w:rPr>
          <w:rFonts w:ascii="Arial" w:eastAsia="Arial" w:hAnsi="Arial" w:cs="Arial"/>
          <w:color w:val="000000"/>
        </w:rPr>
        <w:t>xceptionnels du</w:t>
      </w:r>
      <w:r w:rsidRPr="00A12D5E">
        <w:rPr>
          <w:rFonts w:ascii="Arial" w:eastAsia="Arial" w:hAnsi="Arial" w:cs="Arial"/>
          <w:b/>
          <w:bCs/>
          <w:color w:val="000000"/>
        </w:rPr>
        <w:t xml:space="preserve"> M</w:t>
      </w:r>
      <w:r w:rsidRPr="00A12D5E">
        <w:rPr>
          <w:rFonts w:ascii="Arial" w:eastAsia="Arial" w:hAnsi="Arial" w:cs="Arial"/>
          <w:color w:val="000000"/>
        </w:rPr>
        <w:t>ézenc</w:t>
      </w:r>
    </w:p>
    <w:p w:rsidR="003F738B" w:rsidRDefault="003B1AEA">
      <w:pPr>
        <w:spacing w:after="0"/>
        <w:ind w:right="567"/>
        <w:jc w:val="center"/>
        <w:rPr>
          <w:rFonts w:ascii="Arial" w:eastAsia="Arial" w:hAnsi="Arial" w:cs="Arial"/>
          <w:sz w:val="18"/>
          <w:szCs w:val="18"/>
        </w:rPr>
      </w:pPr>
      <w:r>
        <w:rPr>
          <w:rFonts w:ascii="Arial" w:eastAsia="Arial" w:hAnsi="Arial" w:cs="Arial"/>
          <w:color w:val="000000"/>
          <w:sz w:val="18"/>
          <w:szCs w:val="18"/>
        </w:rPr>
        <w:t xml:space="preserve">Association loi 1901 - agréée au titre de la protection de l'environnement </w:t>
      </w:r>
      <w:r>
        <w:rPr>
          <w:rFonts w:ascii="Arial" w:eastAsia="Arial" w:hAnsi="Arial" w:cs="Arial"/>
          <w:sz w:val="18"/>
          <w:szCs w:val="18"/>
        </w:rPr>
        <w:t>selon arrêté préfectoral</w:t>
      </w:r>
    </w:p>
    <w:p w:rsidR="003F738B" w:rsidRDefault="003B1AEA">
      <w:pPr>
        <w:spacing w:after="0"/>
        <w:ind w:right="567"/>
        <w:jc w:val="center"/>
        <w:rPr>
          <w:rFonts w:ascii="Arial" w:eastAsia="Arial" w:hAnsi="Arial" w:cs="Arial"/>
          <w:color w:val="000000"/>
          <w:sz w:val="18"/>
          <w:szCs w:val="18"/>
        </w:rPr>
      </w:pPr>
      <w:r>
        <w:rPr>
          <w:rFonts w:ascii="Arial" w:eastAsia="Arial" w:hAnsi="Arial" w:cs="Arial"/>
          <w:sz w:val="18"/>
          <w:szCs w:val="18"/>
        </w:rPr>
        <w:t>N° DIPPAL-BCLAJ -2013/80 du 03  mai 2013</w:t>
      </w:r>
      <w:r w:rsidR="00A12D5E">
        <w:rPr>
          <w:rFonts w:ascii="Arial" w:eastAsia="Arial" w:hAnsi="Arial" w:cs="Arial"/>
          <w:sz w:val="18"/>
          <w:szCs w:val="18"/>
        </w:rPr>
        <w:t xml:space="preserve"> et n° BCTE 2018/48 du12 avril 2018</w:t>
      </w:r>
      <w:r>
        <w:rPr>
          <w:rFonts w:ascii="Arial" w:eastAsia="Arial" w:hAnsi="Arial" w:cs="Arial"/>
          <w:sz w:val="18"/>
          <w:szCs w:val="18"/>
        </w:rPr>
        <w:t xml:space="preserve">  </w:t>
      </w:r>
      <w:r>
        <w:rPr>
          <w:rFonts w:ascii="Arial" w:eastAsia="Arial" w:hAnsi="Arial" w:cs="Arial"/>
          <w:color w:val="000000"/>
          <w:sz w:val="18"/>
          <w:szCs w:val="18"/>
        </w:rPr>
        <w:t>-</w:t>
      </w:r>
    </w:p>
    <w:p w:rsidR="003F738B" w:rsidRDefault="00A12D5E">
      <w:pPr>
        <w:spacing w:after="0"/>
        <w:ind w:right="567"/>
        <w:jc w:val="center"/>
        <w:rPr>
          <w:rFonts w:ascii="Arial" w:eastAsia="Arial" w:hAnsi="Arial" w:cs="Arial"/>
          <w:color w:val="000000"/>
          <w:sz w:val="18"/>
          <w:szCs w:val="18"/>
        </w:rPr>
      </w:pPr>
      <w:r>
        <w:rPr>
          <w:rFonts w:ascii="Arial" w:eastAsia="Arial" w:hAnsi="Arial" w:cs="Arial"/>
          <w:color w:val="000000"/>
          <w:sz w:val="18"/>
          <w:szCs w:val="18"/>
        </w:rPr>
        <w:t>M</w:t>
      </w:r>
      <w:r w:rsidR="003B1AEA">
        <w:rPr>
          <w:rFonts w:ascii="Arial" w:eastAsia="Arial" w:hAnsi="Arial" w:cs="Arial"/>
          <w:color w:val="000000"/>
          <w:sz w:val="18"/>
          <w:szCs w:val="18"/>
        </w:rPr>
        <w:t xml:space="preserve">embre de la </w:t>
      </w:r>
      <w:r w:rsidR="003B1AEA">
        <w:rPr>
          <w:rFonts w:ascii="Arial" w:eastAsia="Arial" w:hAnsi="Arial" w:cs="Arial"/>
          <w:b/>
          <w:color w:val="000000"/>
          <w:sz w:val="18"/>
          <w:szCs w:val="18"/>
        </w:rPr>
        <w:t>SPPEF</w:t>
      </w:r>
      <w:r w:rsidR="003B1AEA">
        <w:rPr>
          <w:rFonts w:ascii="Arial" w:eastAsia="Arial" w:hAnsi="Arial" w:cs="Arial"/>
          <w:color w:val="000000"/>
          <w:sz w:val="18"/>
          <w:szCs w:val="18"/>
        </w:rPr>
        <w:t xml:space="preserve"> </w:t>
      </w:r>
      <w:r w:rsidR="003B1AEA">
        <w:rPr>
          <w:rFonts w:ascii="Arial" w:eastAsia="Arial" w:hAnsi="Arial" w:cs="Arial"/>
          <w:b/>
          <w:color w:val="000000"/>
          <w:sz w:val="18"/>
          <w:szCs w:val="18"/>
        </w:rPr>
        <w:t>S</w:t>
      </w:r>
      <w:r w:rsidR="003B1AEA">
        <w:rPr>
          <w:rFonts w:ascii="Arial" w:eastAsia="Arial" w:hAnsi="Arial" w:cs="Arial"/>
          <w:color w:val="000000"/>
          <w:sz w:val="18"/>
          <w:szCs w:val="18"/>
        </w:rPr>
        <w:t xml:space="preserve">ociété pour la </w:t>
      </w:r>
      <w:r w:rsidR="003B1AEA">
        <w:rPr>
          <w:rFonts w:ascii="Arial" w:eastAsia="Arial" w:hAnsi="Arial" w:cs="Arial"/>
          <w:b/>
          <w:color w:val="000000"/>
          <w:sz w:val="18"/>
          <w:szCs w:val="18"/>
        </w:rPr>
        <w:t>P</w:t>
      </w:r>
      <w:r w:rsidR="003B1AEA">
        <w:rPr>
          <w:rFonts w:ascii="Arial" w:eastAsia="Arial" w:hAnsi="Arial" w:cs="Arial"/>
          <w:color w:val="000000"/>
          <w:sz w:val="18"/>
          <w:szCs w:val="18"/>
        </w:rPr>
        <w:t xml:space="preserve">rotection des </w:t>
      </w:r>
      <w:r w:rsidR="003B1AEA">
        <w:rPr>
          <w:rFonts w:ascii="Arial" w:eastAsia="Arial" w:hAnsi="Arial" w:cs="Arial"/>
          <w:b/>
          <w:color w:val="000000"/>
          <w:sz w:val="18"/>
          <w:szCs w:val="18"/>
        </w:rPr>
        <w:t>P</w:t>
      </w:r>
      <w:r w:rsidR="003B1AEA">
        <w:rPr>
          <w:rFonts w:ascii="Arial" w:eastAsia="Arial" w:hAnsi="Arial" w:cs="Arial"/>
          <w:color w:val="000000"/>
          <w:sz w:val="18"/>
          <w:szCs w:val="18"/>
        </w:rPr>
        <w:t>aysages et de l’</w:t>
      </w:r>
      <w:r w:rsidR="003B1AEA">
        <w:rPr>
          <w:rFonts w:ascii="Arial" w:eastAsia="Arial" w:hAnsi="Arial" w:cs="Arial"/>
          <w:b/>
          <w:color w:val="000000"/>
          <w:sz w:val="18"/>
          <w:szCs w:val="18"/>
        </w:rPr>
        <w:t>E</w:t>
      </w:r>
      <w:r w:rsidR="003B1AEA">
        <w:rPr>
          <w:rFonts w:ascii="Arial" w:eastAsia="Arial" w:hAnsi="Arial" w:cs="Arial"/>
          <w:color w:val="000000"/>
          <w:sz w:val="18"/>
          <w:szCs w:val="18"/>
        </w:rPr>
        <w:t xml:space="preserve">sthétique de la </w:t>
      </w:r>
      <w:r w:rsidR="003B1AEA">
        <w:rPr>
          <w:rFonts w:ascii="Arial" w:eastAsia="Arial" w:hAnsi="Arial" w:cs="Arial"/>
          <w:b/>
          <w:color w:val="000000"/>
          <w:sz w:val="18"/>
          <w:szCs w:val="18"/>
        </w:rPr>
        <w:t>F</w:t>
      </w:r>
      <w:r w:rsidR="003B1AEA">
        <w:rPr>
          <w:rFonts w:ascii="Arial" w:eastAsia="Arial" w:hAnsi="Arial" w:cs="Arial"/>
          <w:color w:val="000000"/>
          <w:sz w:val="18"/>
          <w:szCs w:val="18"/>
        </w:rPr>
        <w:t>rance</w:t>
      </w:r>
    </w:p>
    <w:p w:rsidR="003F738B" w:rsidRDefault="003B1AEA">
      <w:pPr>
        <w:spacing w:after="0"/>
        <w:ind w:right="567"/>
        <w:jc w:val="center"/>
        <w:rPr>
          <w:rFonts w:ascii="Arial" w:eastAsia="Arial" w:hAnsi="Arial" w:cs="Arial"/>
          <w:color w:val="000000"/>
          <w:sz w:val="18"/>
          <w:szCs w:val="18"/>
        </w:rPr>
      </w:pPr>
      <w:r>
        <w:rPr>
          <w:rFonts w:ascii="Arial" w:eastAsia="Arial" w:hAnsi="Arial" w:cs="Arial"/>
          <w:color w:val="000000"/>
          <w:sz w:val="18"/>
          <w:szCs w:val="18"/>
        </w:rPr>
        <w:t xml:space="preserve">Président Gilbert RICHAUD - </w:t>
      </w:r>
      <w:r>
        <w:rPr>
          <w:rFonts w:ascii="Arial" w:eastAsia="Arial" w:hAnsi="Arial" w:cs="Arial"/>
          <w:sz w:val="18"/>
          <w:szCs w:val="18"/>
        </w:rPr>
        <w:t>Montvert 43430 Champclause -   tél. : 06 81 33 38 76</w:t>
      </w:r>
      <w:r>
        <w:rPr>
          <w:rFonts w:ascii="Arial" w:eastAsia="Arial" w:hAnsi="Arial" w:cs="Arial"/>
          <w:color w:val="000000"/>
          <w:sz w:val="18"/>
          <w:szCs w:val="18"/>
        </w:rPr>
        <w:t xml:space="preserve"> -</w:t>
      </w:r>
    </w:p>
    <w:p w:rsidR="003F738B" w:rsidRDefault="003B1AEA" w:rsidP="00A12D5E">
      <w:pPr>
        <w:spacing w:line="240" w:lineRule="auto"/>
        <w:ind w:right="567"/>
        <w:jc w:val="center"/>
        <w:rPr>
          <w:rFonts w:ascii="Arial" w:eastAsia="Arial" w:hAnsi="Arial" w:cs="Arial"/>
          <w:color w:val="000000"/>
          <w:sz w:val="18"/>
          <w:szCs w:val="18"/>
        </w:rPr>
      </w:pPr>
      <w:r>
        <w:rPr>
          <w:rFonts w:ascii="Arial" w:eastAsia="Arial" w:hAnsi="Arial" w:cs="Arial"/>
          <w:color w:val="000000"/>
          <w:sz w:val="18"/>
          <w:szCs w:val="18"/>
        </w:rPr>
        <w:t xml:space="preserve"> courriel : </w:t>
      </w:r>
      <w:r w:rsidR="00A12D5E">
        <w:rPr>
          <w:rFonts w:ascii="Arial" w:eastAsia="Arial" w:hAnsi="Arial" w:cs="Arial"/>
          <w:color w:val="000000"/>
          <w:sz w:val="18"/>
          <w:szCs w:val="18"/>
        </w:rPr>
        <w:t>mezenc.exceptionnel@orange.fr</w:t>
      </w:r>
    </w:p>
    <w:p w:rsidR="00A12D5E" w:rsidRPr="00A12D5E" w:rsidRDefault="0053130D" w:rsidP="00A12D5E">
      <w:pPr>
        <w:spacing w:line="240" w:lineRule="auto"/>
        <w:ind w:right="567"/>
        <w:jc w:val="center"/>
        <w:rPr>
          <w:rFonts w:ascii="Arial" w:eastAsia="Arial" w:hAnsi="Arial" w:cs="Arial"/>
          <w:i/>
          <w:color w:val="000000"/>
          <w:sz w:val="18"/>
          <w:szCs w:val="18"/>
        </w:rPr>
      </w:pPr>
      <w:r>
        <w:rPr>
          <w:rFonts w:ascii="Arial" w:eastAsia="Arial" w:hAnsi="Arial" w:cs="Arial"/>
          <w:i/>
          <w:color w:val="000000"/>
          <w:sz w:val="18"/>
          <w:szCs w:val="18"/>
        </w:rPr>
        <w:t>site I</w:t>
      </w:r>
      <w:r w:rsidR="00A12D5E" w:rsidRPr="00A12D5E">
        <w:rPr>
          <w:rFonts w:ascii="Arial" w:eastAsia="Arial" w:hAnsi="Arial" w:cs="Arial"/>
          <w:i/>
          <w:color w:val="000000"/>
          <w:sz w:val="18"/>
          <w:szCs w:val="18"/>
        </w:rPr>
        <w:t>nternet</w:t>
      </w:r>
      <w:r>
        <w:rPr>
          <w:rFonts w:ascii="Arial" w:eastAsia="Arial" w:hAnsi="Arial" w:cs="Arial"/>
          <w:i/>
          <w:color w:val="000000"/>
          <w:sz w:val="18"/>
          <w:szCs w:val="18"/>
        </w:rPr>
        <w:t> :</w:t>
      </w:r>
      <w:r w:rsidR="00A12D5E" w:rsidRPr="00A12D5E">
        <w:rPr>
          <w:rFonts w:ascii="Arial" w:eastAsia="Arial" w:hAnsi="Arial" w:cs="Arial"/>
          <w:i/>
          <w:color w:val="000000"/>
          <w:sz w:val="18"/>
          <w:szCs w:val="18"/>
        </w:rPr>
        <w:t xml:space="preserve"> www.mezencexceptionnel.fr</w:t>
      </w:r>
    </w:p>
    <w:p w:rsidR="00A12D5E" w:rsidRDefault="00A12D5E" w:rsidP="00A12D5E">
      <w:pPr>
        <w:spacing w:line="240" w:lineRule="auto"/>
        <w:ind w:right="567"/>
        <w:jc w:val="center"/>
        <w:rPr>
          <w:rFonts w:ascii="Arial" w:eastAsia="Arial" w:hAnsi="Arial" w:cs="Arial"/>
          <w:color w:val="808080"/>
          <w:sz w:val="18"/>
          <w:szCs w:val="18"/>
        </w:rPr>
      </w:pPr>
    </w:p>
    <w:p w:rsidR="003F738B" w:rsidRDefault="003F738B">
      <w:pPr>
        <w:ind w:left="-1276" w:right="567"/>
        <w:jc w:val="center"/>
        <w:rPr>
          <w:sz w:val="24"/>
          <w:szCs w:val="24"/>
        </w:rPr>
      </w:pPr>
    </w:p>
    <w:p w:rsidR="003F738B" w:rsidRDefault="003F738B">
      <w:pPr>
        <w:ind w:right="567"/>
        <w:jc w:val="both"/>
        <w:rPr>
          <w:rFonts w:ascii="Cambria" w:eastAsia="SimSun" w:hAnsi="Cambria"/>
          <w:caps/>
          <w:sz w:val="28"/>
          <w:szCs w:val="28"/>
        </w:rPr>
      </w:pPr>
    </w:p>
    <w:p w:rsidR="003F738B" w:rsidRDefault="003B1AEA" w:rsidP="006376C6">
      <w:pPr>
        <w:pStyle w:val="Paragraphedeliste"/>
        <w:numPr>
          <w:ilvl w:val="0"/>
          <w:numId w:val="3"/>
        </w:numPr>
        <w:tabs>
          <w:tab w:val="left" w:pos="9639"/>
        </w:tabs>
        <w:ind w:left="1080" w:hanging="720"/>
        <w:jc w:val="both"/>
        <w:rPr>
          <w:rFonts w:cs="Calibri"/>
          <w:b/>
          <w:bCs/>
          <w:color w:val="000000"/>
          <w:sz w:val="28"/>
          <w:szCs w:val="28"/>
        </w:rPr>
      </w:pPr>
      <w:r>
        <w:rPr>
          <w:rFonts w:cs="Calibri"/>
          <w:b/>
          <w:bCs/>
          <w:color w:val="000000"/>
          <w:sz w:val="28"/>
          <w:szCs w:val="28"/>
        </w:rPr>
        <w:t>Introduction</w:t>
      </w:r>
    </w:p>
    <w:p w:rsidR="003F738B" w:rsidRDefault="003B1AEA" w:rsidP="006376C6">
      <w:pPr>
        <w:tabs>
          <w:tab w:val="left" w:pos="9639"/>
        </w:tabs>
        <w:jc w:val="both"/>
        <w:rPr>
          <w:rFonts w:cs="Calibri"/>
          <w:bCs/>
          <w:sz w:val="24"/>
          <w:szCs w:val="24"/>
        </w:rPr>
      </w:pPr>
      <w:r>
        <w:rPr>
          <w:rFonts w:cs="Calibri"/>
          <w:bCs/>
          <w:sz w:val="24"/>
          <w:szCs w:val="24"/>
        </w:rPr>
        <w:t>L'APPEM a sollicité à plusieurs reprises les DREAL Auvergne et Auvergne Rhône Alpes à partir de mai 2016 pour pouvoir participer à l'élaboration des nouveaux documents qui doivent venir en remplacement des anciens schémas régionau</w:t>
      </w:r>
      <w:r w:rsidR="00DB3F71">
        <w:rPr>
          <w:rFonts w:cs="Calibri"/>
          <w:bCs/>
          <w:sz w:val="24"/>
          <w:szCs w:val="24"/>
        </w:rPr>
        <w:t>x éolien</w:t>
      </w:r>
      <w:r w:rsidR="00B10C43">
        <w:rPr>
          <w:rFonts w:cs="Calibri"/>
          <w:bCs/>
          <w:sz w:val="24"/>
          <w:szCs w:val="24"/>
        </w:rPr>
        <w:t>s</w:t>
      </w:r>
      <w:r w:rsidR="00DB3F71">
        <w:rPr>
          <w:rFonts w:cs="Calibri"/>
          <w:bCs/>
          <w:sz w:val="24"/>
          <w:szCs w:val="24"/>
        </w:rPr>
        <w:t xml:space="preserve"> de l'Auvergne et </w:t>
      </w:r>
      <w:r w:rsidR="0053130D">
        <w:rPr>
          <w:rFonts w:cs="Calibri"/>
          <w:bCs/>
          <w:sz w:val="24"/>
          <w:szCs w:val="24"/>
        </w:rPr>
        <w:t xml:space="preserve">de </w:t>
      </w:r>
      <w:r w:rsidR="00DB3F71">
        <w:rPr>
          <w:rFonts w:cs="Calibri"/>
          <w:bCs/>
          <w:sz w:val="24"/>
          <w:szCs w:val="24"/>
        </w:rPr>
        <w:t>Rhône-</w:t>
      </w:r>
      <w:r w:rsidR="0053130D">
        <w:rPr>
          <w:rFonts w:cs="Calibri"/>
          <w:bCs/>
          <w:sz w:val="24"/>
          <w:szCs w:val="24"/>
        </w:rPr>
        <w:t>Alpes et notamment</w:t>
      </w:r>
      <w:r>
        <w:rPr>
          <w:rFonts w:cs="Calibri"/>
          <w:bCs/>
          <w:sz w:val="24"/>
          <w:szCs w:val="24"/>
        </w:rPr>
        <w:t xml:space="preserve"> leurs annexes intitulées "carte des zones favorables au développement de l'énergie éolienne". Ces documents ont servi de référence à partir de 2012, avant d'être annulés par la justice administrative pour des raisons principalement liées au défaut d'analyse environnementale. </w:t>
      </w:r>
    </w:p>
    <w:p w:rsidR="003F738B" w:rsidRDefault="00DB3F71" w:rsidP="006376C6">
      <w:pPr>
        <w:tabs>
          <w:tab w:val="left" w:pos="9639"/>
        </w:tabs>
        <w:jc w:val="both"/>
        <w:rPr>
          <w:rFonts w:cs="Calibri"/>
          <w:bCs/>
          <w:sz w:val="24"/>
          <w:szCs w:val="24"/>
        </w:rPr>
      </w:pPr>
      <w:r>
        <w:rPr>
          <w:rFonts w:cs="Calibri"/>
          <w:bCs/>
          <w:sz w:val="24"/>
          <w:szCs w:val="24"/>
        </w:rPr>
        <w:t>Ils ont vocation à</w:t>
      </w:r>
      <w:r w:rsidR="003B1AEA">
        <w:rPr>
          <w:rFonts w:cs="Calibri"/>
          <w:bCs/>
          <w:sz w:val="24"/>
          <w:szCs w:val="24"/>
        </w:rPr>
        <w:t xml:space="preserve"> être révisés prochainement à l'occasion de l'élaboration du nouveau SRADDET</w:t>
      </w:r>
      <w:r w:rsidR="0053130D">
        <w:rPr>
          <w:rFonts w:cs="Calibri"/>
          <w:bCs/>
          <w:sz w:val="24"/>
          <w:szCs w:val="24"/>
        </w:rPr>
        <w:t>.</w:t>
      </w:r>
    </w:p>
    <w:p w:rsidR="0053130D" w:rsidRDefault="0053130D" w:rsidP="006376C6">
      <w:pPr>
        <w:pStyle w:val="Corpsdetexte3"/>
        <w:tabs>
          <w:tab w:val="left" w:pos="9639"/>
        </w:tabs>
        <w:jc w:val="both"/>
        <w:rPr>
          <w:rFonts w:ascii="Calibri" w:eastAsia="Calibri" w:hAnsi="Calibri" w:cs="Calibri"/>
          <w:bCs/>
          <w:sz w:val="24"/>
          <w:szCs w:val="24"/>
        </w:rPr>
      </w:pPr>
      <w:r>
        <w:rPr>
          <w:rFonts w:ascii="Calibri" w:eastAsia="Calibri" w:hAnsi="Calibri" w:cs="Calibri"/>
          <w:bCs/>
          <w:sz w:val="24"/>
          <w:szCs w:val="24"/>
        </w:rPr>
        <w:t>Par courriel du 7 février 2018, M.</w:t>
      </w:r>
      <w:r w:rsidR="003B1AEA">
        <w:rPr>
          <w:rFonts w:ascii="Calibri" w:eastAsia="Calibri" w:hAnsi="Calibri" w:cs="Calibri"/>
          <w:bCs/>
          <w:sz w:val="24"/>
          <w:szCs w:val="24"/>
        </w:rPr>
        <w:t xml:space="preserve"> Catrain,  référent Climat Air Energie SRADDET</w:t>
      </w:r>
      <w:r>
        <w:rPr>
          <w:rFonts w:ascii="Calibri" w:eastAsia="Calibri" w:hAnsi="Calibri" w:cs="Calibri"/>
          <w:bCs/>
          <w:sz w:val="24"/>
          <w:szCs w:val="24"/>
        </w:rPr>
        <w:t>,</w:t>
      </w:r>
      <w:r w:rsidR="003B1AEA">
        <w:rPr>
          <w:rFonts w:ascii="Calibri" w:eastAsia="Calibri" w:hAnsi="Calibri" w:cs="Calibri"/>
          <w:bCs/>
          <w:sz w:val="24"/>
          <w:szCs w:val="24"/>
        </w:rPr>
        <w:t xml:space="preserve"> a invité l’APPEM à déposer une contribution sur le site de la Région </w:t>
      </w:r>
      <w:r>
        <w:rPr>
          <w:rFonts w:ascii="Calibri" w:eastAsia="Calibri" w:hAnsi="Calibri" w:cs="Calibri"/>
          <w:bCs/>
          <w:sz w:val="24"/>
          <w:szCs w:val="24"/>
        </w:rPr>
        <w:t>Auvergne-</w:t>
      </w:r>
      <w:r w:rsidR="003B1AEA">
        <w:rPr>
          <w:rFonts w:ascii="Calibri" w:eastAsia="Calibri" w:hAnsi="Calibri" w:cs="Calibri"/>
          <w:bCs/>
          <w:sz w:val="24"/>
          <w:szCs w:val="24"/>
        </w:rPr>
        <w:t xml:space="preserve">Rhône-Alpes. </w:t>
      </w:r>
    </w:p>
    <w:p w:rsidR="003F738B" w:rsidRDefault="003B1AEA" w:rsidP="006376C6">
      <w:pPr>
        <w:pStyle w:val="Corpsdetexte3"/>
        <w:tabs>
          <w:tab w:val="left" w:pos="9639"/>
        </w:tabs>
        <w:jc w:val="both"/>
        <w:rPr>
          <w:rFonts w:ascii="Calibri" w:eastAsia="Calibri" w:hAnsi="Calibri" w:cs="Calibri"/>
          <w:sz w:val="20"/>
          <w:szCs w:val="20"/>
          <w:lang w:bidi="ar-SA"/>
        </w:rPr>
      </w:pPr>
      <w:r>
        <w:rPr>
          <w:rFonts w:ascii="Calibri" w:eastAsia="Calibri" w:hAnsi="Calibri" w:cs="Calibri"/>
          <w:bCs/>
          <w:sz w:val="24"/>
          <w:szCs w:val="24"/>
        </w:rPr>
        <w:t>C'est l'objet de ce mémoire qui, après une brève présentation de l'association et de son périmètre géographique d'intervention, souhaite montrer en quoi l’implantation d’aérogénérateurs doit être exclue des paysages englobés dans sa zone d'inter</w:t>
      </w:r>
      <w:r w:rsidR="0053130D">
        <w:rPr>
          <w:rFonts w:ascii="Calibri" w:eastAsia="Calibri" w:hAnsi="Calibri" w:cs="Calibri"/>
          <w:bCs/>
          <w:sz w:val="24"/>
          <w:szCs w:val="24"/>
        </w:rPr>
        <w:t>vention définie</w:t>
      </w:r>
      <w:r>
        <w:rPr>
          <w:rFonts w:ascii="Calibri" w:eastAsia="Calibri" w:hAnsi="Calibri" w:cs="Calibri"/>
          <w:bCs/>
          <w:sz w:val="24"/>
          <w:szCs w:val="24"/>
        </w:rPr>
        <w:t xml:space="preserve"> dans ses statuts et la carte jointe à cet envoi. Pour cela</w:t>
      </w:r>
      <w:r w:rsidR="0053130D">
        <w:rPr>
          <w:rFonts w:ascii="Calibri" w:eastAsia="Calibri" w:hAnsi="Calibri" w:cs="Calibri"/>
          <w:bCs/>
          <w:sz w:val="24"/>
          <w:szCs w:val="24"/>
        </w:rPr>
        <w:t>,</w:t>
      </w:r>
      <w:r>
        <w:rPr>
          <w:rFonts w:ascii="Calibri" w:eastAsia="Calibri" w:hAnsi="Calibri" w:cs="Calibri"/>
          <w:bCs/>
          <w:sz w:val="24"/>
          <w:szCs w:val="24"/>
        </w:rPr>
        <w:t xml:space="preserve"> nous nous appuierons sur les orientations du SRADDET telles qu</w:t>
      </w:r>
      <w:r w:rsidR="00DB3F71">
        <w:rPr>
          <w:rFonts w:ascii="Calibri" w:eastAsia="Calibri" w:hAnsi="Calibri" w:cs="Calibri"/>
          <w:bCs/>
          <w:sz w:val="24"/>
          <w:szCs w:val="24"/>
        </w:rPr>
        <w:t xml:space="preserve">’exprimées à </w:t>
      </w:r>
      <w:r>
        <w:rPr>
          <w:rFonts w:ascii="Calibri" w:eastAsia="Calibri" w:hAnsi="Calibri" w:cs="Calibri"/>
          <w:bCs/>
          <w:sz w:val="24"/>
          <w:szCs w:val="24"/>
        </w:rPr>
        <w:t xml:space="preserve"> </w:t>
      </w:r>
      <w:r>
        <w:rPr>
          <w:rFonts w:ascii="Calibri" w:eastAsia="Calibri" w:hAnsi="Calibri" w:cs="Calibri"/>
          <w:color w:val="000000"/>
          <w:sz w:val="24"/>
          <w:szCs w:val="24"/>
          <w:lang w:bidi="ar-SA"/>
        </w:rPr>
        <w:t xml:space="preserve">l’assemblée plénière du Conseil régional Auvergne-Rhône-Alpes du 29 mars 2018 – rapport n° 3708 – Démarche AMBITIONS TERRITOIRES 2030 et notamment la prescriptivité de </w:t>
      </w:r>
      <w:r>
        <w:rPr>
          <w:rFonts w:ascii="Calibri" w:eastAsia="Calibri" w:hAnsi="Calibri" w:cs="Calibri"/>
          <w:sz w:val="24"/>
          <w:szCs w:val="24"/>
          <w:lang w:bidi="ar-SA"/>
        </w:rPr>
        <w:t>l'acte 2 du Plan Montagne rappelé p</w:t>
      </w:r>
      <w:r w:rsidR="0053130D">
        <w:rPr>
          <w:rFonts w:ascii="Calibri" w:eastAsia="Calibri" w:hAnsi="Calibri" w:cs="Calibri"/>
          <w:sz w:val="24"/>
          <w:szCs w:val="24"/>
          <w:lang w:bidi="ar-SA"/>
        </w:rPr>
        <w:t>.</w:t>
      </w:r>
      <w:r>
        <w:rPr>
          <w:rFonts w:ascii="Calibri" w:eastAsia="Calibri" w:hAnsi="Calibri" w:cs="Calibri"/>
          <w:sz w:val="24"/>
          <w:szCs w:val="24"/>
          <w:lang w:bidi="ar-SA"/>
        </w:rPr>
        <w:t xml:space="preserve"> 5/6 de ce rapport.</w:t>
      </w:r>
    </w:p>
    <w:p w:rsidR="003F738B" w:rsidRDefault="003F738B" w:rsidP="006376C6">
      <w:pPr>
        <w:pStyle w:val="Corpsdetexte3"/>
        <w:tabs>
          <w:tab w:val="left" w:pos="9639"/>
        </w:tabs>
        <w:jc w:val="both"/>
        <w:rPr>
          <w:rFonts w:ascii="Calibri" w:eastAsia="Calibri" w:hAnsi="Calibri" w:cs="Calibri"/>
          <w:color w:val="000000"/>
          <w:sz w:val="15"/>
          <w:szCs w:val="20"/>
          <w:lang w:bidi="ar-SA"/>
        </w:rPr>
      </w:pPr>
    </w:p>
    <w:p w:rsidR="003F738B" w:rsidRDefault="003F738B" w:rsidP="006376C6">
      <w:pPr>
        <w:pStyle w:val="Corpsdetexte3"/>
        <w:tabs>
          <w:tab w:val="left" w:pos="9639"/>
        </w:tabs>
        <w:jc w:val="both"/>
        <w:rPr>
          <w:rFonts w:ascii="Calibri" w:eastAsia="Calibri" w:hAnsi="Calibri" w:cs="Calibri"/>
          <w:bCs/>
          <w:sz w:val="24"/>
          <w:szCs w:val="24"/>
        </w:rPr>
      </w:pPr>
    </w:p>
    <w:p w:rsidR="003F738B" w:rsidRDefault="003B1AEA" w:rsidP="006376C6">
      <w:pPr>
        <w:pStyle w:val="Corpsdetexte3"/>
        <w:tabs>
          <w:tab w:val="left" w:pos="9639"/>
        </w:tabs>
        <w:jc w:val="both"/>
        <w:rPr>
          <w:rFonts w:ascii="Calibri" w:eastAsia="Calibri" w:hAnsi="Calibri" w:cs="Calibri"/>
          <w:bCs/>
          <w:sz w:val="24"/>
          <w:szCs w:val="24"/>
        </w:rPr>
      </w:pPr>
      <w:r>
        <w:rPr>
          <w:rFonts w:ascii="Calibri" w:eastAsia="Calibri" w:hAnsi="Calibri" w:cs="Calibri"/>
          <w:bCs/>
          <w:sz w:val="24"/>
          <w:szCs w:val="24"/>
        </w:rPr>
        <w:t xml:space="preserve"> </w:t>
      </w:r>
      <w:r>
        <w:rPr>
          <w:noProof/>
          <w:lang w:eastAsia="fr-FR" w:bidi="ar-SA"/>
        </w:rPr>
        <w:drawing>
          <wp:inline distT="0" distB="0" distL="0" distR="0">
            <wp:extent cx="6105525" cy="3714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a:extLst>
                        <a:ext uri="smNativeData">
                          <sm:smNativeData xmlns:ve="http://schemas.openxmlformats.org/markup-compatibility/2006" xmlns="" xmlns:o="urn:schemas-microsoft-com:office:office" xmlns:v="urn:schemas-microsoft-com:vml" xmlns:w10="urn:schemas-microsoft-com:office:word" xmlns:w="http://schemas.openxmlformats.org/wordprocessingml/2006/main" xmlns:sm="smNativeData" val="SMDATA_16_pZEf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ZAAAAB6AAAAAAAAAAAAAAAAAAAAAAAAAAAAAAAAAAAAAAAAAAAAAAjyUAAEkCAAAAAAAAAAAAAAAAAAA="/>
                        </a:ext>
                      </a:extLst>
                    </pic:cNvPicPr>
                  </pic:nvPicPr>
                  <pic:blipFill>
                    <a:blip r:embed="rId9" cstate="print"/>
                    <a:stretch>
                      <a:fillRect/>
                    </a:stretch>
                  </pic:blipFill>
                  <pic:spPr>
                    <a:xfrm>
                      <a:off x="0" y="0"/>
                      <a:ext cx="6105525" cy="371475"/>
                    </a:xfrm>
                    <a:prstGeom prst="rect">
                      <a:avLst/>
                    </a:prstGeom>
                    <a:noFill/>
                    <a:ln w="12700">
                      <a:noFill/>
                    </a:ln>
                  </pic:spPr>
                </pic:pic>
              </a:graphicData>
            </a:graphic>
          </wp:inline>
        </w:drawing>
      </w:r>
    </w:p>
    <w:p w:rsidR="003F738B" w:rsidRDefault="003B1AEA" w:rsidP="006376C6">
      <w:pPr>
        <w:pStyle w:val="Corpsdetexte3"/>
        <w:tabs>
          <w:tab w:val="left" w:pos="9639"/>
        </w:tabs>
        <w:jc w:val="both"/>
        <w:rPr>
          <w:rFonts w:ascii="Calibri" w:eastAsia="Calibri" w:hAnsi="Calibri" w:cs="Calibri"/>
          <w:bCs/>
          <w:sz w:val="24"/>
          <w:szCs w:val="24"/>
        </w:rPr>
      </w:pPr>
      <w:r>
        <w:rPr>
          <w:rFonts w:ascii="Calibri" w:eastAsia="Calibri" w:hAnsi="Calibri" w:cs="Calibri"/>
          <w:sz w:val="24"/>
          <w:szCs w:val="24"/>
        </w:rPr>
        <w:t>Dans ce rapport</w:t>
      </w:r>
      <w:r w:rsidR="0053130D">
        <w:rPr>
          <w:rFonts w:ascii="Calibri" w:eastAsia="Calibri" w:hAnsi="Calibri" w:cs="Calibri"/>
          <w:sz w:val="24"/>
          <w:szCs w:val="24"/>
        </w:rPr>
        <w:t>,</w:t>
      </w:r>
      <w:r>
        <w:rPr>
          <w:rFonts w:ascii="Calibri" w:eastAsia="Calibri" w:hAnsi="Calibri" w:cs="Calibri"/>
          <w:sz w:val="24"/>
          <w:szCs w:val="24"/>
        </w:rPr>
        <w:t xml:space="preserve"> l’APPEM est particulièrement concernée par le volet </w:t>
      </w:r>
      <w:r>
        <w:rPr>
          <w:rFonts w:ascii="Calibri" w:eastAsia="Calibri" w:hAnsi="Calibri" w:cs="Calibri"/>
          <w:bCs/>
          <w:sz w:val="24"/>
          <w:szCs w:val="24"/>
        </w:rPr>
        <w:t>Environnement Energie et montrera comment les choix de production d’énergie peuvent influer sur l’avenir du territoire et de la biodiversité.</w:t>
      </w:r>
    </w:p>
    <w:p w:rsidR="003F738B" w:rsidRDefault="003B1AEA" w:rsidP="006376C6">
      <w:pPr>
        <w:pStyle w:val="Corpsdetexte3"/>
        <w:tabs>
          <w:tab w:val="left" w:pos="9639"/>
        </w:tabs>
        <w:jc w:val="both"/>
        <w:rPr>
          <w:rFonts w:ascii="Calibri" w:eastAsia="Calibri" w:hAnsi="Calibri" w:cs="Calibri"/>
          <w:i/>
          <w:sz w:val="24"/>
          <w:szCs w:val="24"/>
        </w:rPr>
      </w:pPr>
      <w:r>
        <w:rPr>
          <w:rFonts w:ascii="Calibri" w:eastAsia="Calibri" w:hAnsi="Calibri" w:cs="Calibri"/>
          <w:bCs/>
          <w:sz w:val="24"/>
          <w:szCs w:val="24"/>
        </w:rPr>
        <w:t>Nous montrerons que le caractère exceptionnel de ces paysages doit être impérativement préservé, non seulement les vues à partir des sommets emblématiques mais aussi des vues lointaines sur ces sommets, critère qui a permis de  définir précisément notre zone d'intervention statutaire (art. 2) autrement dit</w:t>
      </w:r>
      <w:r w:rsidR="0053130D">
        <w:rPr>
          <w:rFonts w:ascii="Calibri" w:eastAsia="Calibri" w:hAnsi="Calibri" w:cs="Calibri"/>
          <w:bCs/>
          <w:sz w:val="24"/>
          <w:szCs w:val="24"/>
        </w:rPr>
        <w:t xml:space="preserve"> </w:t>
      </w:r>
      <w:r>
        <w:rPr>
          <w:rFonts w:ascii="Calibri" w:eastAsia="Calibri" w:hAnsi="Calibri" w:cs="Calibri"/>
          <w:bCs/>
          <w:sz w:val="24"/>
          <w:szCs w:val="24"/>
        </w:rPr>
        <w:t xml:space="preserve">:  </w:t>
      </w:r>
      <w:r>
        <w:rPr>
          <w:rFonts w:ascii="Calibri" w:eastAsia="Calibri" w:hAnsi="Calibri" w:cs="Calibri"/>
          <w:bCs/>
          <w:i/>
          <w:sz w:val="24"/>
          <w:szCs w:val="24"/>
        </w:rPr>
        <w:t>"</w:t>
      </w:r>
      <w:r>
        <w:rPr>
          <w:rFonts w:ascii="Calibri" w:eastAsia="Calibri" w:hAnsi="Calibri" w:cs="Calibri"/>
          <w:i/>
          <w:sz w:val="24"/>
          <w:szCs w:val="24"/>
        </w:rPr>
        <w:t>Le territoire du Mézenc/Meygal/Gerbier [qui]comprend naturellement toute l’étendue montagneuse  (à partir de 900</w:t>
      </w:r>
      <w:r w:rsidR="0053130D">
        <w:rPr>
          <w:rFonts w:ascii="Calibri" w:eastAsia="Calibri" w:hAnsi="Calibri" w:cs="Calibri"/>
          <w:i/>
          <w:sz w:val="24"/>
          <w:szCs w:val="24"/>
        </w:rPr>
        <w:t xml:space="preserve"> </w:t>
      </w:r>
      <w:r>
        <w:rPr>
          <w:rFonts w:ascii="Calibri" w:eastAsia="Calibri" w:hAnsi="Calibri" w:cs="Calibri"/>
          <w:i/>
          <w:sz w:val="24"/>
          <w:szCs w:val="24"/>
        </w:rPr>
        <w:t xml:space="preserve">m d'altitude) mais  s'étend également aux espaces  à partir desquels le massif du Mézenc s'impose comme une puissance paysagère clairement identifiable. </w:t>
      </w:r>
    </w:p>
    <w:p w:rsidR="003F738B" w:rsidRDefault="003B1AEA" w:rsidP="006376C6">
      <w:pPr>
        <w:pStyle w:val="Corpsdetexte3"/>
        <w:tabs>
          <w:tab w:val="left" w:pos="9639"/>
        </w:tabs>
        <w:jc w:val="both"/>
        <w:rPr>
          <w:rFonts w:ascii="Calibri" w:eastAsia="Calibri" w:hAnsi="Calibri" w:cs="Calibri"/>
          <w:bCs/>
          <w:sz w:val="24"/>
          <w:szCs w:val="24"/>
        </w:rPr>
      </w:pPr>
      <w:r>
        <w:rPr>
          <w:rFonts w:ascii="Calibri" w:eastAsia="Calibri" w:hAnsi="Calibri" w:cs="Calibri"/>
          <w:sz w:val="24"/>
          <w:szCs w:val="24"/>
        </w:rPr>
        <w:t>Nous montrerons aussi que le caractère exceptionnel du paysage a des conséquences sur la biodiversité et l’économie. Par ailleurs</w:t>
      </w:r>
      <w:r w:rsidR="0053130D">
        <w:rPr>
          <w:rFonts w:ascii="Calibri" w:eastAsia="Calibri" w:hAnsi="Calibri" w:cs="Calibri"/>
          <w:sz w:val="24"/>
          <w:szCs w:val="24"/>
        </w:rPr>
        <w:t>,</w:t>
      </w:r>
      <w:r>
        <w:rPr>
          <w:rFonts w:ascii="Calibri" w:eastAsia="Calibri" w:hAnsi="Calibri" w:cs="Calibri"/>
          <w:sz w:val="24"/>
          <w:szCs w:val="24"/>
        </w:rPr>
        <w:t xml:space="preserve"> du fait de sa situation</w:t>
      </w:r>
      <w:r w:rsidR="0053130D">
        <w:rPr>
          <w:rFonts w:ascii="Calibri" w:eastAsia="Calibri" w:hAnsi="Calibri" w:cs="Calibri"/>
          <w:sz w:val="24"/>
          <w:szCs w:val="24"/>
        </w:rPr>
        <w:t>,</w:t>
      </w:r>
      <w:r>
        <w:rPr>
          <w:rFonts w:ascii="Calibri" w:eastAsia="Calibri" w:hAnsi="Calibri" w:cs="Calibri"/>
          <w:sz w:val="24"/>
          <w:szCs w:val="24"/>
        </w:rPr>
        <w:t xml:space="preserve"> il est un maillon essentiel de la protection du milieu naturel.</w:t>
      </w:r>
    </w:p>
    <w:p w:rsidR="003F738B" w:rsidRDefault="003B1AEA" w:rsidP="006376C6">
      <w:pPr>
        <w:pStyle w:val="Corpsdetexte3"/>
        <w:tabs>
          <w:tab w:val="left" w:pos="9639"/>
        </w:tabs>
        <w:jc w:val="both"/>
        <w:rPr>
          <w:rFonts w:ascii="Calibri" w:eastAsia="Calibri" w:hAnsi="Calibri" w:cs="Calibri"/>
          <w:b/>
          <w:bCs/>
          <w:sz w:val="24"/>
          <w:szCs w:val="24"/>
        </w:rPr>
      </w:pPr>
      <w:r>
        <w:rPr>
          <w:rFonts w:ascii="Calibri" w:eastAsia="Calibri" w:hAnsi="Calibri" w:cs="Calibri"/>
          <w:b/>
          <w:bCs/>
          <w:sz w:val="24"/>
          <w:szCs w:val="24"/>
        </w:rPr>
        <w:t>Tous ce</w:t>
      </w:r>
      <w:r w:rsidR="0053130D">
        <w:rPr>
          <w:rFonts w:ascii="Calibri" w:eastAsia="Calibri" w:hAnsi="Calibri" w:cs="Calibri"/>
          <w:b/>
          <w:bCs/>
          <w:sz w:val="24"/>
          <w:szCs w:val="24"/>
        </w:rPr>
        <w:t>s</w:t>
      </w:r>
      <w:r>
        <w:rPr>
          <w:rFonts w:ascii="Calibri" w:eastAsia="Calibri" w:hAnsi="Calibri" w:cs="Calibri"/>
          <w:b/>
          <w:bCs/>
          <w:sz w:val="24"/>
          <w:szCs w:val="24"/>
        </w:rPr>
        <w:t xml:space="preserve"> éléments qui seront développés ci-dessous, et la bonne connaissance du plateau Mézenc/Gerbier/Meygal</w:t>
      </w:r>
      <w:r w:rsidR="0053130D">
        <w:rPr>
          <w:rFonts w:ascii="Calibri" w:eastAsia="Calibri" w:hAnsi="Calibri" w:cs="Calibri"/>
          <w:b/>
          <w:bCs/>
          <w:sz w:val="24"/>
          <w:szCs w:val="24"/>
        </w:rPr>
        <w:t>,</w:t>
      </w:r>
      <w:r>
        <w:rPr>
          <w:rFonts w:ascii="Calibri" w:eastAsia="Calibri" w:hAnsi="Calibri" w:cs="Calibri"/>
          <w:b/>
          <w:bCs/>
          <w:sz w:val="24"/>
          <w:szCs w:val="24"/>
        </w:rPr>
        <w:t xml:space="preserve"> nous conduisent</w:t>
      </w:r>
      <w:r w:rsidR="00DB3F71">
        <w:rPr>
          <w:rFonts w:ascii="Calibri" w:eastAsia="Calibri" w:hAnsi="Calibri" w:cs="Calibri"/>
          <w:b/>
          <w:bCs/>
          <w:sz w:val="24"/>
          <w:szCs w:val="24"/>
        </w:rPr>
        <w:t>,</w:t>
      </w:r>
      <w:r>
        <w:rPr>
          <w:rFonts w:ascii="Calibri" w:eastAsia="Calibri" w:hAnsi="Calibri" w:cs="Calibri"/>
          <w:b/>
          <w:bCs/>
          <w:sz w:val="24"/>
          <w:szCs w:val="24"/>
        </w:rPr>
        <w:t xml:space="preserve"> sur la zone statutaire d'intervention couverte par l’APPEM (carte jointe ci-après)</w:t>
      </w:r>
      <w:r w:rsidR="00DB3F71">
        <w:rPr>
          <w:rFonts w:ascii="Calibri" w:eastAsia="Calibri" w:hAnsi="Calibri" w:cs="Calibri"/>
          <w:b/>
          <w:bCs/>
          <w:sz w:val="24"/>
          <w:szCs w:val="24"/>
        </w:rPr>
        <w:t>,</w:t>
      </w:r>
      <w:r>
        <w:rPr>
          <w:rFonts w:ascii="Calibri" w:eastAsia="Calibri" w:hAnsi="Calibri" w:cs="Calibri"/>
          <w:b/>
          <w:bCs/>
          <w:sz w:val="24"/>
          <w:szCs w:val="24"/>
        </w:rPr>
        <w:t xml:space="preserve"> à demander que l'on ne puisse pas y développer l’éolien industriel.</w:t>
      </w:r>
    </w:p>
    <w:p w:rsidR="003F738B" w:rsidRDefault="003F738B">
      <w:pPr>
        <w:pStyle w:val="Corpsdetexte3"/>
        <w:ind w:right="567"/>
        <w:jc w:val="both"/>
        <w:rPr>
          <w:rFonts w:ascii="Calibri" w:eastAsia="Calibri" w:hAnsi="Calibri" w:cs="Calibri"/>
          <w:b/>
          <w:bCs/>
          <w:sz w:val="24"/>
          <w:szCs w:val="24"/>
        </w:rPr>
      </w:pPr>
    </w:p>
    <w:p w:rsidR="003F738B" w:rsidRDefault="003F738B">
      <w:pPr>
        <w:pStyle w:val="Corpsdetexte3"/>
        <w:ind w:right="567"/>
        <w:jc w:val="both"/>
        <w:rPr>
          <w:rFonts w:ascii="Calibri" w:eastAsia="Calibri" w:hAnsi="Calibri" w:cs="Calibri"/>
          <w:b/>
          <w:bCs/>
          <w:sz w:val="24"/>
          <w:szCs w:val="24"/>
        </w:rPr>
      </w:pPr>
    </w:p>
    <w:p w:rsidR="003F738B" w:rsidRDefault="003B1AEA">
      <w:pPr>
        <w:pStyle w:val="Corpsdetexte3"/>
        <w:ind w:right="-39"/>
        <w:jc w:val="center"/>
        <w:rPr>
          <w:rFonts w:ascii="Calibri" w:eastAsia="Calibri" w:hAnsi="Calibri" w:cs="Calibri"/>
          <w:sz w:val="24"/>
          <w:szCs w:val="24"/>
        </w:rPr>
      </w:pPr>
      <w:r>
        <w:rPr>
          <w:rFonts w:ascii="Calibri" w:eastAsia="Calibri" w:hAnsi="Calibri" w:cs="Calibri"/>
          <w:sz w:val="24"/>
          <w:szCs w:val="24"/>
        </w:rPr>
        <w:t xml:space="preserve"> Carte de la zone d'intervention statutaire de l'Association APPEM </w:t>
      </w:r>
    </w:p>
    <w:tbl>
      <w:tblPr>
        <w:tblW w:w="9695" w:type="dxa"/>
        <w:tblCellMar>
          <w:left w:w="10" w:type="dxa"/>
          <w:right w:w="10" w:type="dxa"/>
        </w:tblCellMar>
        <w:tblLook w:val="0000" w:firstRow="0" w:lastRow="0" w:firstColumn="0" w:lastColumn="0" w:noHBand="0" w:noVBand="0"/>
      </w:tblPr>
      <w:tblGrid>
        <w:gridCol w:w="10373"/>
      </w:tblGrid>
      <w:tr w:rsidR="003F738B" w:rsidTr="00B96271">
        <w:trPr>
          <w:trHeight w:val="9020"/>
        </w:trPr>
        <w:tc>
          <w:tcPr>
            <w:tcW w:w="9695" w:type="dxa"/>
            <w:tcBorders>
              <w:top w:val="single" w:sz="4" w:space="0" w:color="000000"/>
              <w:left w:val="single" w:sz="4" w:space="0" w:color="000000"/>
              <w:bottom w:val="single" w:sz="4" w:space="0" w:color="000000"/>
              <w:right w:val="single" w:sz="4" w:space="0" w:color="000000"/>
              <w:tl2br w:val="nil"/>
              <w:tr2bl w:val="nil"/>
            </w:tcBorders>
            <w:tcMar>
              <w:top w:w="56" w:type="dxa"/>
              <w:left w:w="56" w:type="dxa"/>
              <w:bottom w:w="56" w:type="dxa"/>
              <w:right w:w="56" w:type="dxa"/>
            </w:tcMar>
          </w:tcPr>
          <w:p w:rsidR="003F738B" w:rsidRDefault="003B1AEA">
            <w:pPr>
              <w:pStyle w:val="Corpsdetexte3"/>
              <w:spacing w:after="0"/>
              <w:jc w:val="center"/>
              <w:rPr>
                <w:rFonts w:ascii="Calibri" w:eastAsia="Calibri" w:hAnsi="Calibri" w:cs="Calibri"/>
                <w:b/>
                <w:sz w:val="24"/>
                <w:szCs w:val="24"/>
              </w:rPr>
            </w:pPr>
            <w:r>
              <w:rPr>
                <w:noProof/>
                <w:lang w:eastAsia="fr-FR" w:bidi="ar-SA"/>
              </w:rPr>
              <w:lastRenderedPageBreak/>
              <w:drawing>
                <wp:inline distT="0" distB="0" distL="0" distR="0">
                  <wp:extent cx="4610735" cy="6515735"/>
                  <wp:effectExtent l="0" t="0" r="0" b="0"/>
                  <wp:docPr id="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
                          <pic:cNvPicPr>
                            <a:picLocks noChangeAspect="1"/>
                            <a:extLst>
                              <a:ext uri="smNativeData">
                                <sm:smNativeData xmlns:ve="http://schemas.openxmlformats.org/markup-compatibility/2006" xmlns="" xmlns:o="urn:schemas-microsoft-com:office:office" xmlns:v="urn:schemas-microsoft-com:vml" xmlns:w10="urn:schemas-microsoft-com:office:word" xmlns:w="http://schemas.openxmlformats.org/wordprocessingml/2006/main" xmlns:sm="smNativeData" val="SMDATA_16_pZEf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sAAAAB6IAAAAAAAABAAAAAQAAAAAAAAAj/P//AQAAAAAAAADXDQAAFSgAAF0cAAACAAAAI/z//9cNAAA="/>
                              </a:ext>
                            </a:extLst>
                          </pic:cNvPicPr>
                        </pic:nvPicPr>
                        <pic:blipFill>
                          <a:blip r:embed="rId10" cstate="print"/>
                          <a:stretch>
                            <a:fillRect/>
                          </a:stretch>
                        </pic:blipFill>
                        <pic:spPr>
                          <a:xfrm rot="5400000">
                            <a:off x="0" y="0"/>
                            <a:ext cx="4610735" cy="6515735"/>
                          </a:xfrm>
                          <a:prstGeom prst="rect">
                            <a:avLst/>
                          </a:prstGeom>
                          <a:noFill/>
                          <a:ln w="12700">
                            <a:noFill/>
                          </a:ln>
                        </pic:spPr>
                      </pic:pic>
                    </a:graphicData>
                  </a:graphic>
                </wp:inline>
              </w:drawing>
            </w:r>
          </w:p>
        </w:tc>
      </w:tr>
    </w:tbl>
    <w:p w:rsidR="003F738B" w:rsidRDefault="003F738B">
      <w:pPr>
        <w:pStyle w:val="Corpsdetexte3"/>
        <w:ind w:right="567"/>
        <w:jc w:val="both"/>
        <w:rPr>
          <w:rFonts w:ascii="Calibri" w:eastAsia="Calibri" w:hAnsi="Calibri" w:cs="Calibri"/>
          <w:b/>
          <w:sz w:val="24"/>
          <w:szCs w:val="24"/>
        </w:rPr>
      </w:pPr>
    </w:p>
    <w:p w:rsidR="003F738B" w:rsidRDefault="003F738B">
      <w:pPr>
        <w:pStyle w:val="Corpsdetexte3"/>
        <w:ind w:right="567"/>
        <w:jc w:val="both"/>
        <w:rPr>
          <w:rFonts w:ascii="Calibri" w:eastAsia="Calibri" w:hAnsi="Calibri" w:cs="Calibri"/>
          <w:bCs/>
          <w:sz w:val="24"/>
          <w:szCs w:val="24"/>
        </w:rPr>
      </w:pPr>
    </w:p>
    <w:p w:rsidR="003F738B" w:rsidRDefault="003B1AEA" w:rsidP="006376C6">
      <w:pPr>
        <w:pStyle w:val="Titre1"/>
        <w:jc w:val="both"/>
        <w:rPr>
          <w:rFonts w:ascii="Calibri" w:eastAsia="Calibri" w:hAnsi="Calibri" w:cs="Calibri"/>
          <w:b/>
          <w:color w:val="auto"/>
          <w:sz w:val="24"/>
          <w:szCs w:val="24"/>
        </w:rPr>
      </w:pPr>
      <w:r>
        <w:rPr>
          <w:rFonts w:ascii="Calibri" w:eastAsia="Calibri" w:hAnsi="Calibri" w:cs="Calibri"/>
          <w:b/>
          <w:color w:val="auto"/>
          <w:sz w:val="24"/>
          <w:szCs w:val="24"/>
        </w:rPr>
        <w:t>L’ASSOCIATION</w:t>
      </w:r>
    </w:p>
    <w:p w:rsidR="003F738B" w:rsidRDefault="003F738B" w:rsidP="006376C6">
      <w:pPr>
        <w:spacing w:after="120"/>
        <w:jc w:val="both"/>
        <w:rPr>
          <w:rFonts w:cs="Calibri"/>
          <w:sz w:val="24"/>
          <w:szCs w:val="24"/>
          <w:lang w:bidi="hi-IN"/>
        </w:rPr>
      </w:pPr>
    </w:p>
    <w:p w:rsidR="003F738B" w:rsidRDefault="003B1AEA" w:rsidP="006376C6">
      <w:pPr>
        <w:jc w:val="both"/>
        <w:rPr>
          <w:rFonts w:cs="Calibri"/>
          <w:sz w:val="24"/>
          <w:szCs w:val="24"/>
        </w:rPr>
      </w:pPr>
      <w:r>
        <w:rPr>
          <w:rFonts w:cs="Calibri"/>
          <w:sz w:val="24"/>
          <w:szCs w:val="24"/>
        </w:rPr>
        <w:t xml:space="preserve">Créée le 2 avril 2002 par des personnalités liées au milieu du tourisme, l’APPEM est agréée pour la protection de l’environnement depuis mars 2010  et habilitée, depuis 2015, à participer au débat sur l'environnement du département de la Haute-Loire. </w:t>
      </w:r>
      <w:r>
        <w:rPr>
          <w:rFonts w:cs="Calibri"/>
          <w:i/>
          <w:sz w:val="24"/>
          <w:szCs w:val="24"/>
        </w:rPr>
        <w:t>L'APPEM a pour « objet sur le territoire du Mézenc/Meygal/Gerbier précisé ci-dessous, la préservation et la promotion des paysages, des espaces naturels sensibles, du cadre de vie, de la biodiversité et des éléments représentatifs de la culture, des traditions et de l'architecture, en contribuant à mieux les faire connaître, en prévenant leur dégradation et en luttant contre les atteintes pouvant les affecter »</w:t>
      </w:r>
      <w:r>
        <w:rPr>
          <w:rFonts w:cs="Calibri"/>
          <w:sz w:val="24"/>
          <w:szCs w:val="24"/>
        </w:rPr>
        <w:t xml:space="preserve">. </w:t>
      </w:r>
    </w:p>
    <w:p w:rsidR="003F738B" w:rsidRDefault="003B1AEA" w:rsidP="006376C6">
      <w:pPr>
        <w:spacing w:after="57"/>
        <w:jc w:val="both"/>
        <w:rPr>
          <w:rFonts w:cs="Calibri"/>
          <w:kern w:val="1"/>
          <w:sz w:val="24"/>
          <w:szCs w:val="24"/>
        </w:rPr>
      </w:pPr>
      <w:r>
        <w:rPr>
          <w:rFonts w:cs="Calibri"/>
          <w:kern w:val="1"/>
          <w:sz w:val="24"/>
          <w:szCs w:val="24"/>
        </w:rPr>
        <w:t>Le périmètre d'intervention de l'APPEM s'étend sur « l</w:t>
      </w:r>
      <w:r>
        <w:rPr>
          <w:rFonts w:cs="Calibri"/>
          <w:i/>
          <w:kern w:val="1"/>
          <w:sz w:val="24"/>
          <w:szCs w:val="24"/>
        </w:rPr>
        <w:t>e territoire du Mézenc/Meygal/Gerbier [qui]</w:t>
      </w:r>
      <w:r w:rsidR="0053130D">
        <w:rPr>
          <w:rFonts w:cs="Calibri"/>
          <w:i/>
          <w:kern w:val="1"/>
          <w:sz w:val="24"/>
          <w:szCs w:val="24"/>
        </w:rPr>
        <w:t xml:space="preserve"> </w:t>
      </w:r>
      <w:r>
        <w:rPr>
          <w:rFonts w:cs="Calibri"/>
          <w:i/>
          <w:kern w:val="1"/>
          <w:sz w:val="24"/>
          <w:szCs w:val="24"/>
        </w:rPr>
        <w:t>comprend naturelleme</w:t>
      </w:r>
      <w:r w:rsidR="0053130D">
        <w:rPr>
          <w:rFonts w:cs="Calibri"/>
          <w:i/>
          <w:kern w:val="1"/>
          <w:sz w:val="24"/>
          <w:szCs w:val="24"/>
        </w:rPr>
        <w:t xml:space="preserve">nt toute l’étendue montagneuse </w:t>
      </w:r>
      <w:r>
        <w:rPr>
          <w:rFonts w:cs="Calibri"/>
          <w:i/>
          <w:kern w:val="1"/>
          <w:sz w:val="24"/>
          <w:szCs w:val="24"/>
        </w:rPr>
        <w:t>(à partir de 9</w:t>
      </w:r>
      <w:r w:rsidR="0053130D">
        <w:rPr>
          <w:rFonts w:cs="Calibri"/>
          <w:i/>
          <w:kern w:val="1"/>
          <w:sz w:val="24"/>
          <w:szCs w:val="24"/>
        </w:rPr>
        <w:t xml:space="preserve"> </w:t>
      </w:r>
      <w:r>
        <w:rPr>
          <w:rFonts w:cs="Calibri"/>
          <w:i/>
          <w:kern w:val="1"/>
          <w:sz w:val="24"/>
          <w:szCs w:val="24"/>
        </w:rPr>
        <w:t xml:space="preserve">00m d'altitude) mais </w:t>
      </w:r>
      <w:r w:rsidR="0053130D">
        <w:rPr>
          <w:rFonts w:cs="Calibri"/>
          <w:i/>
          <w:kern w:val="1"/>
          <w:sz w:val="24"/>
          <w:szCs w:val="24"/>
        </w:rPr>
        <w:t xml:space="preserve">s'étend également aux espaces </w:t>
      </w:r>
      <w:r>
        <w:rPr>
          <w:rFonts w:cs="Calibri"/>
          <w:i/>
          <w:kern w:val="1"/>
          <w:sz w:val="24"/>
          <w:szCs w:val="24"/>
        </w:rPr>
        <w:t>à partir desquels le massif du Mézenc s'impose comme une puissance paysagère clairement identifiable</w:t>
      </w:r>
      <w:r>
        <w:rPr>
          <w:rFonts w:cs="Calibri"/>
          <w:kern w:val="1"/>
          <w:sz w:val="24"/>
          <w:szCs w:val="24"/>
        </w:rPr>
        <w:t> »; (art. 2 statuts APPEM) ; il englobe 48 communes :</w:t>
      </w:r>
    </w:p>
    <w:p w:rsidR="003F738B" w:rsidRDefault="0053130D" w:rsidP="006376C6">
      <w:pPr>
        <w:numPr>
          <w:ilvl w:val="0"/>
          <w:numId w:val="13"/>
        </w:numPr>
        <w:spacing w:after="57"/>
        <w:ind w:left="360" w:hanging="360"/>
        <w:jc w:val="both"/>
        <w:rPr>
          <w:rFonts w:cs="Calibri"/>
          <w:kern w:val="1"/>
          <w:sz w:val="24"/>
          <w:szCs w:val="24"/>
        </w:rPr>
      </w:pPr>
      <w:r>
        <w:rPr>
          <w:rFonts w:cs="Calibri"/>
          <w:kern w:val="1"/>
          <w:sz w:val="24"/>
          <w:szCs w:val="24"/>
        </w:rPr>
        <w:t>26  en Haute-Loire ;</w:t>
      </w:r>
    </w:p>
    <w:p w:rsidR="003F738B" w:rsidRDefault="0053130D" w:rsidP="006376C6">
      <w:pPr>
        <w:numPr>
          <w:ilvl w:val="0"/>
          <w:numId w:val="13"/>
        </w:numPr>
        <w:spacing w:after="57"/>
        <w:ind w:left="360" w:hanging="360"/>
        <w:jc w:val="both"/>
        <w:rPr>
          <w:rFonts w:cs="Calibri"/>
          <w:kern w:val="1"/>
          <w:sz w:val="24"/>
          <w:szCs w:val="24"/>
        </w:rPr>
      </w:pPr>
      <w:r>
        <w:rPr>
          <w:rFonts w:cs="Calibri"/>
          <w:kern w:val="1"/>
          <w:sz w:val="24"/>
          <w:szCs w:val="24"/>
        </w:rPr>
        <w:lastRenderedPageBreak/>
        <w:t>22 en  Ardèche.</w:t>
      </w:r>
    </w:p>
    <w:p w:rsidR="003F738B" w:rsidRDefault="003B1AEA" w:rsidP="006376C6">
      <w:pPr>
        <w:spacing w:after="0"/>
        <w:jc w:val="both"/>
        <w:rPr>
          <w:rFonts w:cs="Calibri"/>
          <w:kern w:val="1"/>
          <w:sz w:val="24"/>
          <w:szCs w:val="24"/>
        </w:rPr>
      </w:pPr>
      <w:r>
        <w:rPr>
          <w:rFonts w:cs="Calibri"/>
          <w:kern w:val="1"/>
          <w:sz w:val="24"/>
          <w:szCs w:val="24"/>
        </w:rPr>
        <w:t>Huit  d'entre elles s</w:t>
      </w:r>
      <w:r w:rsidR="00B96271">
        <w:rPr>
          <w:rFonts w:cs="Calibri"/>
          <w:kern w:val="1"/>
          <w:sz w:val="24"/>
          <w:szCs w:val="24"/>
        </w:rPr>
        <w:t>ont intégrées au Parc n</w:t>
      </w:r>
      <w:r>
        <w:rPr>
          <w:rFonts w:cs="Calibri"/>
          <w:kern w:val="1"/>
          <w:sz w:val="24"/>
          <w:szCs w:val="24"/>
        </w:rPr>
        <w:t xml:space="preserve">aturel </w:t>
      </w:r>
      <w:r w:rsidR="00B96271">
        <w:rPr>
          <w:rFonts w:cs="Calibri"/>
          <w:kern w:val="1"/>
          <w:sz w:val="24"/>
          <w:szCs w:val="24"/>
        </w:rPr>
        <w:t xml:space="preserve">régional </w:t>
      </w:r>
      <w:r>
        <w:rPr>
          <w:rFonts w:cs="Calibri"/>
          <w:kern w:val="1"/>
          <w:sz w:val="24"/>
          <w:szCs w:val="24"/>
        </w:rPr>
        <w:t>des Monts d'Ardèche</w:t>
      </w:r>
      <w:r w:rsidR="0053130D">
        <w:rPr>
          <w:rFonts w:cs="Calibri"/>
          <w:kern w:val="1"/>
          <w:sz w:val="24"/>
          <w:szCs w:val="24"/>
        </w:rPr>
        <w:t>,</w:t>
      </w:r>
      <w:r>
        <w:rPr>
          <w:rFonts w:cs="Calibri"/>
          <w:kern w:val="1"/>
          <w:sz w:val="24"/>
          <w:szCs w:val="24"/>
        </w:rPr>
        <w:t xml:space="preserve"> labellisé UNESCO.</w:t>
      </w:r>
    </w:p>
    <w:p w:rsidR="003F738B" w:rsidRPr="0053130D" w:rsidRDefault="003F738B" w:rsidP="006376C6">
      <w:pPr>
        <w:spacing w:after="57"/>
        <w:jc w:val="both"/>
        <w:rPr>
          <w:rFonts w:cs="Calibri"/>
          <w:b/>
          <w:kern w:val="1"/>
          <w:sz w:val="24"/>
          <w:szCs w:val="24"/>
        </w:rPr>
      </w:pPr>
    </w:p>
    <w:p w:rsidR="003F738B" w:rsidRDefault="0053130D" w:rsidP="006376C6">
      <w:pPr>
        <w:spacing w:after="57"/>
        <w:jc w:val="both"/>
        <w:rPr>
          <w:rFonts w:cs="Calibri"/>
          <w:kern w:val="1"/>
          <w:sz w:val="24"/>
          <w:szCs w:val="24"/>
        </w:rPr>
      </w:pPr>
      <w:r>
        <w:rPr>
          <w:rFonts w:cs="Calibri"/>
          <w:kern w:val="1"/>
          <w:sz w:val="24"/>
          <w:szCs w:val="24"/>
        </w:rPr>
        <w:t>Sur cette zone frontière entre Velay et</w:t>
      </w:r>
      <w:r w:rsidR="003B1AEA">
        <w:rPr>
          <w:rFonts w:cs="Calibri"/>
          <w:kern w:val="1"/>
          <w:sz w:val="24"/>
          <w:szCs w:val="24"/>
        </w:rPr>
        <w:t xml:space="preserve"> haute Ardèche, les continuités écologiques de l'Auvergne vers Rhône-Alpes sont fortes : vallées profondes, socle du volcanisme ancien, espaces forestiers montagnards</w:t>
      </w:r>
      <w:r>
        <w:rPr>
          <w:rFonts w:cs="Calibri"/>
          <w:kern w:val="1"/>
          <w:sz w:val="24"/>
          <w:szCs w:val="24"/>
        </w:rPr>
        <w:t>,</w:t>
      </w:r>
      <w:r w:rsidR="003B1AEA">
        <w:rPr>
          <w:rFonts w:cs="Calibri"/>
          <w:kern w:val="1"/>
          <w:sz w:val="24"/>
          <w:szCs w:val="24"/>
        </w:rPr>
        <w:t xml:space="preserve"> notamment du Méze</w:t>
      </w:r>
      <w:r>
        <w:rPr>
          <w:rFonts w:cs="Calibri"/>
          <w:kern w:val="1"/>
          <w:sz w:val="24"/>
          <w:szCs w:val="24"/>
        </w:rPr>
        <w:t>nc-Gerbier, pelouses d’altitude</w:t>
      </w:r>
      <w:r w:rsidR="003B1AEA">
        <w:rPr>
          <w:rFonts w:cs="Calibri"/>
          <w:kern w:val="1"/>
          <w:sz w:val="24"/>
          <w:szCs w:val="24"/>
        </w:rPr>
        <w:t>, tourbières, zones humides, axe migratoire favorable pour les oiseaux, trame agro-pastorale et subalpine du Velay et du Vivarais en liaiso</w:t>
      </w:r>
      <w:r>
        <w:rPr>
          <w:rFonts w:cs="Calibri"/>
          <w:kern w:val="1"/>
          <w:sz w:val="24"/>
          <w:szCs w:val="24"/>
        </w:rPr>
        <w:t>n avec les hauteurs ardéchoises.</w:t>
      </w:r>
    </w:p>
    <w:p w:rsidR="003F738B" w:rsidRDefault="003B1AEA" w:rsidP="006376C6">
      <w:pPr>
        <w:spacing w:after="57"/>
        <w:jc w:val="both"/>
        <w:rPr>
          <w:rFonts w:cs="Calibri"/>
          <w:kern w:val="1"/>
          <w:sz w:val="24"/>
          <w:szCs w:val="24"/>
        </w:rPr>
      </w:pPr>
      <w:r>
        <w:rPr>
          <w:rFonts w:cs="Calibri"/>
          <w:kern w:val="1"/>
          <w:sz w:val="24"/>
          <w:szCs w:val="24"/>
        </w:rPr>
        <w:t xml:space="preserve">Les 8 grands enjeux de préservation et de remise en bon état des continuités écologiques du Schéma </w:t>
      </w:r>
      <w:r w:rsidR="006376C6">
        <w:rPr>
          <w:rFonts w:cs="Calibri"/>
          <w:kern w:val="1"/>
          <w:sz w:val="24"/>
          <w:szCs w:val="24"/>
        </w:rPr>
        <w:t xml:space="preserve"> Régional </w:t>
      </w:r>
      <w:r>
        <w:rPr>
          <w:rFonts w:cs="Calibri"/>
          <w:kern w:val="1"/>
          <w:sz w:val="24"/>
          <w:szCs w:val="24"/>
        </w:rPr>
        <w:t>de Coh</w:t>
      </w:r>
      <w:r w:rsidR="006376C6">
        <w:rPr>
          <w:rFonts w:cs="Calibri"/>
          <w:kern w:val="1"/>
          <w:sz w:val="24"/>
          <w:szCs w:val="24"/>
        </w:rPr>
        <w:t>érence Ecologique de l’Auvergne (</w:t>
      </w:r>
      <w:r>
        <w:rPr>
          <w:rFonts w:cs="Calibri"/>
          <w:kern w:val="1"/>
          <w:sz w:val="24"/>
          <w:szCs w:val="24"/>
        </w:rPr>
        <w:t>SRCE</w:t>
      </w:r>
      <w:r w:rsidR="006376C6">
        <w:rPr>
          <w:rFonts w:cs="Calibri"/>
          <w:kern w:val="1"/>
          <w:sz w:val="24"/>
          <w:szCs w:val="24"/>
        </w:rPr>
        <w:t>)</w:t>
      </w:r>
      <w:r>
        <w:rPr>
          <w:rFonts w:cs="Calibri"/>
          <w:kern w:val="1"/>
          <w:sz w:val="24"/>
          <w:szCs w:val="24"/>
        </w:rPr>
        <w:t xml:space="preserve"> 2015-2020</w:t>
      </w:r>
      <w:r>
        <w:rPr>
          <w:rFonts w:cs="Calibri"/>
          <w:kern w:val="1"/>
          <w:sz w:val="24"/>
          <w:szCs w:val="24"/>
          <w:vertAlign w:val="superscript"/>
        </w:rPr>
        <w:footnoteReference w:id="1"/>
      </w:r>
      <w:r>
        <w:rPr>
          <w:rFonts w:cs="Calibri"/>
          <w:kern w:val="1"/>
          <w:sz w:val="24"/>
          <w:szCs w:val="24"/>
        </w:rPr>
        <w:t xml:space="preserve"> sont pris en compte dans toutes les actions de sensibilisation que conduit l'APPEM :</w:t>
      </w:r>
    </w:p>
    <w:p w:rsidR="003F738B" w:rsidRDefault="003F738B" w:rsidP="006376C6">
      <w:pPr>
        <w:spacing w:after="57"/>
        <w:jc w:val="both"/>
        <w:rPr>
          <w:rFonts w:cs="Calibri"/>
          <w:kern w:val="1"/>
          <w:sz w:val="24"/>
          <w:szCs w:val="24"/>
        </w:rPr>
      </w:pPr>
    </w:p>
    <w:tbl>
      <w:tblPr>
        <w:tblW w:w="9316" w:type="dxa"/>
        <w:tblInd w:w="231" w:type="dxa"/>
        <w:tblCellMar>
          <w:left w:w="10" w:type="dxa"/>
          <w:right w:w="10" w:type="dxa"/>
        </w:tblCellMar>
        <w:tblLook w:val="0000" w:firstRow="0" w:lastRow="0" w:firstColumn="0" w:lastColumn="0" w:noHBand="0" w:noVBand="0"/>
      </w:tblPr>
      <w:tblGrid>
        <w:gridCol w:w="9316"/>
      </w:tblGrid>
      <w:tr w:rsidR="003F738B">
        <w:tc>
          <w:tcPr>
            <w:tcW w:w="9316" w:type="dxa"/>
            <w:tcBorders>
              <w:top w:val="nil"/>
              <w:left w:val="nil"/>
              <w:bottom w:val="nil"/>
              <w:right w:val="nil"/>
              <w:tl2br w:val="nil"/>
              <w:tr2bl w:val="nil"/>
            </w:tcBorders>
            <w:shd w:val="solid" w:color="F2F2F2" w:fill="auto"/>
            <w:tcMar>
              <w:top w:w="0" w:type="dxa"/>
              <w:left w:w="108" w:type="dxa"/>
              <w:bottom w:w="0" w:type="dxa"/>
              <w:right w:w="108" w:type="dxa"/>
            </w:tcMar>
          </w:tcPr>
          <w:p w:rsidR="003F738B" w:rsidRDefault="003B1AEA" w:rsidP="006376C6">
            <w:pPr>
              <w:widowControl w:val="0"/>
              <w:numPr>
                <w:ilvl w:val="0"/>
                <w:numId w:val="14"/>
              </w:numPr>
              <w:tabs>
                <w:tab w:val="left" w:pos="113"/>
              </w:tabs>
              <w:suppressAutoHyphens/>
              <w:spacing w:after="57" w:line="240" w:lineRule="auto"/>
              <w:ind w:left="170" w:hanging="284"/>
              <w:jc w:val="both"/>
              <w:rPr>
                <w:rFonts w:cs="Calibri"/>
                <w:kern w:val="1"/>
                <w:sz w:val="18"/>
                <w:szCs w:val="18"/>
              </w:rPr>
            </w:pPr>
            <w:r>
              <w:rPr>
                <w:rFonts w:cs="Calibri"/>
                <w:kern w:val="1"/>
                <w:sz w:val="18"/>
                <w:szCs w:val="18"/>
              </w:rPr>
              <w:t>Mieux caractériser l’état de la biodiversité.</w:t>
            </w:r>
          </w:p>
          <w:p w:rsidR="003F738B" w:rsidRDefault="003B1AEA" w:rsidP="006376C6">
            <w:pPr>
              <w:widowControl w:val="0"/>
              <w:numPr>
                <w:ilvl w:val="0"/>
                <w:numId w:val="14"/>
              </w:numPr>
              <w:tabs>
                <w:tab w:val="left" w:pos="113"/>
              </w:tabs>
              <w:suppressAutoHyphens/>
              <w:spacing w:after="57" w:line="240" w:lineRule="auto"/>
              <w:ind w:left="170" w:hanging="284"/>
              <w:jc w:val="both"/>
              <w:rPr>
                <w:rFonts w:cs="Calibri"/>
                <w:kern w:val="1"/>
                <w:sz w:val="18"/>
                <w:szCs w:val="18"/>
              </w:rPr>
            </w:pPr>
            <w:r>
              <w:rPr>
                <w:rFonts w:cs="Calibri"/>
                <w:kern w:val="1"/>
                <w:sz w:val="18"/>
                <w:szCs w:val="18"/>
              </w:rPr>
              <w:t>Aménager le territoire en prenant en compte les milieux naturels, agricoles et forestiers et les paysages : lutter contre la consommation d’espace, le morcellement du territoire, et la pollution lumineuse.</w:t>
            </w:r>
          </w:p>
          <w:p w:rsidR="003F738B" w:rsidRDefault="003B1AEA" w:rsidP="006376C6">
            <w:pPr>
              <w:widowControl w:val="0"/>
              <w:numPr>
                <w:ilvl w:val="0"/>
                <w:numId w:val="14"/>
              </w:numPr>
              <w:tabs>
                <w:tab w:val="left" w:pos="113"/>
              </w:tabs>
              <w:suppressAutoHyphens/>
              <w:spacing w:after="57" w:line="240" w:lineRule="auto"/>
              <w:ind w:left="170" w:hanging="284"/>
              <w:jc w:val="both"/>
              <w:rPr>
                <w:rFonts w:cs="Calibri"/>
                <w:kern w:val="1"/>
                <w:sz w:val="18"/>
                <w:szCs w:val="18"/>
              </w:rPr>
            </w:pPr>
            <w:r>
              <w:rPr>
                <w:rFonts w:cs="Calibri"/>
                <w:kern w:val="1"/>
                <w:sz w:val="18"/>
                <w:szCs w:val="18"/>
              </w:rPr>
              <w:t>Appréhender les effets cumulés de la fragmentation du territoire (impacts des infrastructures, équipements, projets d’aménagement sur la biodiversité).</w:t>
            </w:r>
          </w:p>
          <w:p w:rsidR="003F738B" w:rsidRDefault="003B1AEA" w:rsidP="006376C6">
            <w:pPr>
              <w:widowControl w:val="0"/>
              <w:numPr>
                <w:ilvl w:val="0"/>
                <w:numId w:val="14"/>
              </w:numPr>
              <w:tabs>
                <w:tab w:val="left" w:pos="113"/>
              </w:tabs>
              <w:suppressAutoHyphens/>
              <w:spacing w:after="57" w:line="240" w:lineRule="auto"/>
              <w:ind w:left="170" w:hanging="284"/>
              <w:jc w:val="both"/>
              <w:rPr>
                <w:rFonts w:cs="Calibri"/>
                <w:kern w:val="1"/>
                <w:sz w:val="18"/>
                <w:szCs w:val="18"/>
              </w:rPr>
            </w:pPr>
            <w:r>
              <w:rPr>
                <w:rFonts w:cs="Calibri"/>
                <w:kern w:val="1"/>
                <w:sz w:val="18"/>
                <w:szCs w:val="18"/>
              </w:rPr>
              <w:t>Maîtriser le tourisme et activités de pleine nature pour préserver habitats naturels et espèces et la continuité écologique.</w:t>
            </w:r>
          </w:p>
          <w:p w:rsidR="003F738B" w:rsidRDefault="003B1AEA" w:rsidP="006376C6">
            <w:pPr>
              <w:widowControl w:val="0"/>
              <w:numPr>
                <w:ilvl w:val="0"/>
                <w:numId w:val="14"/>
              </w:numPr>
              <w:tabs>
                <w:tab w:val="left" w:pos="113"/>
              </w:tabs>
              <w:suppressAutoHyphens/>
              <w:spacing w:after="57" w:line="240" w:lineRule="auto"/>
              <w:ind w:left="170" w:hanging="284"/>
              <w:jc w:val="both"/>
              <w:rPr>
                <w:rFonts w:cs="Calibri"/>
                <w:kern w:val="1"/>
                <w:sz w:val="18"/>
                <w:szCs w:val="18"/>
              </w:rPr>
            </w:pPr>
            <w:r>
              <w:rPr>
                <w:rFonts w:cs="Calibri"/>
                <w:kern w:val="1"/>
                <w:sz w:val="18"/>
                <w:szCs w:val="18"/>
              </w:rPr>
              <w:t>Préserver la grande diversité d’habitats proches entre eux et qui se juxtaposent : forêts, zones humides, prairies, cultures.</w:t>
            </w:r>
          </w:p>
          <w:p w:rsidR="003F738B" w:rsidRDefault="003B1AEA" w:rsidP="006376C6">
            <w:pPr>
              <w:widowControl w:val="0"/>
              <w:numPr>
                <w:ilvl w:val="0"/>
                <w:numId w:val="14"/>
              </w:numPr>
              <w:tabs>
                <w:tab w:val="left" w:pos="113"/>
              </w:tabs>
              <w:suppressAutoHyphens/>
              <w:spacing w:after="57" w:line="240" w:lineRule="auto"/>
              <w:ind w:left="170" w:hanging="284"/>
              <w:jc w:val="both"/>
              <w:rPr>
                <w:rFonts w:cs="Calibri"/>
                <w:kern w:val="1"/>
                <w:sz w:val="18"/>
                <w:szCs w:val="18"/>
              </w:rPr>
            </w:pPr>
            <w:r>
              <w:rPr>
                <w:rFonts w:cs="Calibri"/>
                <w:kern w:val="1"/>
                <w:sz w:val="18"/>
                <w:szCs w:val="18"/>
              </w:rPr>
              <w:t>Préparer les conditions du renouvellement des forêts et peuplements artificiels en montagne.</w:t>
            </w:r>
          </w:p>
          <w:p w:rsidR="003F738B" w:rsidRDefault="003B1AEA" w:rsidP="006376C6">
            <w:pPr>
              <w:widowControl w:val="0"/>
              <w:numPr>
                <w:ilvl w:val="0"/>
                <w:numId w:val="14"/>
              </w:numPr>
              <w:tabs>
                <w:tab w:val="left" w:pos="113"/>
              </w:tabs>
              <w:suppressAutoHyphens/>
              <w:spacing w:after="57" w:line="240" w:lineRule="auto"/>
              <w:ind w:left="170" w:hanging="284"/>
              <w:jc w:val="both"/>
              <w:rPr>
                <w:rFonts w:cs="Calibri"/>
                <w:kern w:val="1"/>
                <w:sz w:val="18"/>
                <w:szCs w:val="18"/>
              </w:rPr>
            </w:pPr>
            <w:r>
              <w:rPr>
                <w:rFonts w:cs="Calibri"/>
                <w:kern w:val="1"/>
                <w:sz w:val="18"/>
                <w:szCs w:val="18"/>
              </w:rPr>
              <w:t>Maintenir les surfaces agricoles face à l’artificialisation des sols et de la déprise agricole.</w:t>
            </w:r>
          </w:p>
          <w:p w:rsidR="003F738B" w:rsidRDefault="003B1AEA" w:rsidP="006376C6">
            <w:pPr>
              <w:widowControl w:val="0"/>
              <w:numPr>
                <w:ilvl w:val="0"/>
                <w:numId w:val="14"/>
              </w:numPr>
              <w:tabs>
                <w:tab w:val="left" w:pos="113"/>
              </w:tabs>
              <w:suppressAutoHyphens/>
              <w:spacing w:after="57" w:line="240" w:lineRule="auto"/>
              <w:ind w:left="170" w:hanging="284"/>
              <w:jc w:val="both"/>
              <w:rPr>
                <w:rFonts w:cs="Calibri"/>
                <w:kern w:val="1"/>
                <w:sz w:val="18"/>
                <w:szCs w:val="18"/>
              </w:rPr>
            </w:pPr>
            <w:r>
              <w:rPr>
                <w:rFonts w:cs="Calibri"/>
                <w:kern w:val="1"/>
                <w:sz w:val="18"/>
                <w:szCs w:val="18"/>
              </w:rPr>
              <w:t>Préserver la qualité et la quantité de la ressource en eau de l’Auvergne.</w:t>
            </w:r>
          </w:p>
        </w:tc>
      </w:tr>
    </w:tbl>
    <w:p w:rsidR="003F738B" w:rsidRDefault="003F738B" w:rsidP="006376C6">
      <w:pPr>
        <w:pStyle w:val="Standard"/>
        <w:spacing w:line="240" w:lineRule="auto"/>
        <w:jc w:val="both"/>
        <w:rPr>
          <w:color w:val="auto"/>
          <w:sz w:val="24"/>
          <w:szCs w:val="24"/>
        </w:rPr>
      </w:pPr>
    </w:p>
    <w:p w:rsidR="003F738B" w:rsidRDefault="003B1AEA" w:rsidP="006376C6">
      <w:pPr>
        <w:pStyle w:val="Standard"/>
        <w:spacing w:line="240" w:lineRule="auto"/>
        <w:jc w:val="both"/>
        <w:rPr>
          <w:color w:val="auto"/>
          <w:sz w:val="24"/>
          <w:szCs w:val="24"/>
        </w:rPr>
      </w:pPr>
      <w:r>
        <w:rPr>
          <w:color w:val="auto"/>
          <w:sz w:val="24"/>
          <w:szCs w:val="24"/>
        </w:rPr>
        <w:t>Depuis son origine</w:t>
      </w:r>
      <w:r w:rsidR="006376C6">
        <w:rPr>
          <w:color w:val="auto"/>
          <w:sz w:val="24"/>
          <w:szCs w:val="24"/>
        </w:rPr>
        <w:t>,</w:t>
      </w:r>
      <w:r>
        <w:rPr>
          <w:color w:val="auto"/>
          <w:sz w:val="24"/>
          <w:szCs w:val="24"/>
        </w:rPr>
        <w:t xml:space="preserve"> notre association défend la biodiversité, l’habitat traditionnel et la qualité des paysages des hauts-plateaux du Mézenc. L’APPEM a conduit des actions d’information et de sensibilisation des populations concernées. Elle a notamment présenté, lors d'une exposition en 2017, les énergies renouvelables qui lui paraissa</w:t>
      </w:r>
      <w:r w:rsidR="006376C6">
        <w:rPr>
          <w:color w:val="auto"/>
          <w:sz w:val="24"/>
          <w:szCs w:val="24"/>
        </w:rPr>
        <w:t>i</w:t>
      </w:r>
      <w:r w:rsidR="00B10C43">
        <w:rPr>
          <w:color w:val="auto"/>
          <w:sz w:val="24"/>
          <w:szCs w:val="24"/>
        </w:rPr>
        <w:t>e</w:t>
      </w:r>
      <w:r w:rsidR="006376C6">
        <w:rPr>
          <w:color w:val="auto"/>
          <w:sz w:val="24"/>
          <w:szCs w:val="24"/>
        </w:rPr>
        <w:t xml:space="preserve">nt </w:t>
      </w:r>
      <w:r>
        <w:rPr>
          <w:color w:val="auto"/>
          <w:sz w:val="24"/>
          <w:szCs w:val="24"/>
        </w:rPr>
        <w:t xml:space="preserve">les plus adaptées à ces hauts-plateaux, tant du point de vue paysager que du point de vue du milieu humain. Cette année 2018, l’exposition fera œuvre de vulgarisation pour </w:t>
      </w:r>
      <w:r w:rsidR="006376C6">
        <w:rPr>
          <w:color w:val="auto"/>
          <w:sz w:val="24"/>
          <w:szCs w:val="24"/>
        </w:rPr>
        <w:t xml:space="preserve">l’avifaune et les </w:t>
      </w:r>
      <w:r>
        <w:rPr>
          <w:color w:val="auto"/>
          <w:sz w:val="24"/>
          <w:szCs w:val="24"/>
        </w:rPr>
        <w:t xml:space="preserve">espèces protégées. C’est aussi la découverte du " vivant" avec pas moins de dix randonnées dans les espaces sauvages du plateau. </w:t>
      </w:r>
    </w:p>
    <w:p w:rsidR="003F738B" w:rsidRDefault="003F738B" w:rsidP="006376C6">
      <w:pPr>
        <w:pStyle w:val="Standard"/>
        <w:spacing w:line="240" w:lineRule="auto"/>
        <w:jc w:val="both"/>
        <w:rPr>
          <w:color w:val="auto"/>
          <w:sz w:val="24"/>
          <w:szCs w:val="24"/>
        </w:rPr>
      </w:pPr>
    </w:p>
    <w:p w:rsidR="003F738B" w:rsidRDefault="003B1AEA" w:rsidP="006376C6">
      <w:pPr>
        <w:spacing w:after="0"/>
        <w:jc w:val="both"/>
        <w:rPr>
          <w:rFonts w:cs="Calibri"/>
          <w:sz w:val="24"/>
          <w:szCs w:val="24"/>
        </w:rPr>
      </w:pPr>
      <w:r>
        <w:rPr>
          <w:rFonts w:cs="Calibri"/>
          <w:sz w:val="24"/>
          <w:szCs w:val="24"/>
        </w:rPr>
        <w:t>L’APP</w:t>
      </w:r>
      <w:r w:rsidR="006376C6">
        <w:rPr>
          <w:rFonts w:cs="Calibri"/>
          <w:sz w:val="24"/>
          <w:szCs w:val="24"/>
        </w:rPr>
        <w:t xml:space="preserve">EM est membre de la Commission </w:t>
      </w:r>
      <w:r>
        <w:rPr>
          <w:rFonts w:cs="Calibri"/>
          <w:sz w:val="24"/>
          <w:szCs w:val="24"/>
        </w:rPr>
        <w:t xml:space="preserve">départementale de la nature et des sites de la Haute-Loire et de l'Ardèche (formation unités touristiques nouvelles), du Comité de gestion du site </w:t>
      </w:r>
      <w:r w:rsidR="006376C6">
        <w:rPr>
          <w:rFonts w:cs="Calibri"/>
          <w:sz w:val="24"/>
          <w:szCs w:val="24"/>
        </w:rPr>
        <w:t xml:space="preserve">classé du Mézenc </w:t>
      </w:r>
      <w:r>
        <w:rPr>
          <w:rFonts w:cs="Calibri"/>
          <w:sz w:val="24"/>
          <w:szCs w:val="24"/>
        </w:rPr>
        <w:t>et du Com</w:t>
      </w:r>
      <w:r w:rsidR="006376C6">
        <w:rPr>
          <w:rFonts w:cs="Calibri"/>
          <w:sz w:val="24"/>
          <w:szCs w:val="24"/>
        </w:rPr>
        <w:t xml:space="preserve">ité de pilotage du PNR </w:t>
      </w:r>
      <w:r>
        <w:rPr>
          <w:rFonts w:cs="Calibri"/>
          <w:sz w:val="24"/>
          <w:szCs w:val="24"/>
        </w:rPr>
        <w:t>des Monts d'Ardèche, Géoparc UNESCO.</w:t>
      </w:r>
    </w:p>
    <w:p w:rsidR="003F738B" w:rsidRDefault="003F738B" w:rsidP="006376C6">
      <w:pPr>
        <w:pStyle w:val="Corpsdetexte3"/>
        <w:jc w:val="both"/>
        <w:rPr>
          <w:rFonts w:ascii="Calibri" w:eastAsia="Calibri" w:hAnsi="Calibri" w:cs="Calibri"/>
          <w:bCs/>
          <w:sz w:val="24"/>
          <w:szCs w:val="24"/>
        </w:rPr>
      </w:pPr>
    </w:p>
    <w:p w:rsidR="003F738B" w:rsidRDefault="003B1AEA" w:rsidP="006376C6">
      <w:pPr>
        <w:pStyle w:val="Corpsdetexte3"/>
        <w:jc w:val="both"/>
        <w:rPr>
          <w:rFonts w:ascii="Calibri" w:eastAsia="Calibri" w:hAnsi="Calibri" w:cs="Calibri"/>
          <w:b/>
          <w:bCs/>
          <w:sz w:val="28"/>
          <w:szCs w:val="28"/>
        </w:rPr>
      </w:pPr>
      <w:r>
        <w:rPr>
          <w:rFonts w:ascii="Calibri" w:eastAsia="Calibri" w:hAnsi="Calibri" w:cs="Calibri"/>
          <w:b/>
          <w:bCs/>
          <w:sz w:val="28"/>
          <w:szCs w:val="28"/>
        </w:rPr>
        <w:t>II- L’APPEM est défavorable à l’implantation d’éoliennes industrielles sur les massifs Mézenc/Meygal/Gerbier et sur sa zone d'intervention</w:t>
      </w:r>
    </w:p>
    <w:p w:rsidR="003F738B" w:rsidRDefault="003B1AEA" w:rsidP="006376C6">
      <w:pPr>
        <w:jc w:val="both"/>
        <w:rPr>
          <w:rFonts w:cs="Calibri"/>
          <w:b/>
          <w:sz w:val="24"/>
          <w:szCs w:val="24"/>
        </w:rPr>
      </w:pPr>
      <w:r>
        <w:rPr>
          <w:rFonts w:cs="Calibri"/>
          <w:b/>
          <w:sz w:val="24"/>
          <w:szCs w:val="24"/>
        </w:rPr>
        <w:t>Cette position s’appuie sur :</w:t>
      </w:r>
    </w:p>
    <w:p w:rsidR="003F738B" w:rsidRDefault="003B1AEA" w:rsidP="006376C6">
      <w:pPr>
        <w:pStyle w:val="Paragraphedeliste"/>
        <w:numPr>
          <w:ilvl w:val="0"/>
          <w:numId w:val="1"/>
        </w:numPr>
        <w:ind w:left="1068" w:hanging="360"/>
        <w:jc w:val="both"/>
        <w:rPr>
          <w:rFonts w:cs="Calibri"/>
          <w:b/>
          <w:sz w:val="24"/>
          <w:szCs w:val="24"/>
        </w:rPr>
      </w:pPr>
      <w:r>
        <w:rPr>
          <w:rFonts w:cs="Calibri"/>
          <w:b/>
          <w:sz w:val="24"/>
          <w:szCs w:val="24"/>
        </w:rPr>
        <w:t>la protection des paysages</w:t>
      </w:r>
      <w:r w:rsidR="006376C6">
        <w:rPr>
          <w:rFonts w:cs="Calibri"/>
          <w:b/>
          <w:sz w:val="24"/>
          <w:szCs w:val="24"/>
        </w:rPr>
        <w:t> ;</w:t>
      </w:r>
    </w:p>
    <w:p w:rsidR="003F738B" w:rsidRDefault="003B1AEA" w:rsidP="006376C6">
      <w:pPr>
        <w:pStyle w:val="Paragraphedeliste"/>
        <w:numPr>
          <w:ilvl w:val="0"/>
          <w:numId w:val="1"/>
        </w:numPr>
        <w:ind w:left="1068" w:hanging="360"/>
        <w:jc w:val="both"/>
        <w:rPr>
          <w:rFonts w:cs="Calibri"/>
          <w:b/>
          <w:sz w:val="24"/>
          <w:szCs w:val="24"/>
        </w:rPr>
      </w:pPr>
      <w:r>
        <w:rPr>
          <w:rFonts w:cs="Calibri"/>
          <w:b/>
          <w:sz w:val="24"/>
          <w:szCs w:val="24"/>
        </w:rPr>
        <w:t>la cohérence avec les documents réglementaires existants et en particulier la loi Montagne</w:t>
      </w:r>
      <w:r w:rsidR="006376C6">
        <w:rPr>
          <w:rFonts w:cs="Calibri"/>
          <w:b/>
          <w:sz w:val="24"/>
          <w:szCs w:val="24"/>
        </w:rPr>
        <w:t> ;</w:t>
      </w:r>
    </w:p>
    <w:p w:rsidR="003F738B" w:rsidRDefault="003B1AEA" w:rsidP="006376C6">
      <w:pPr>
        <w:pStyle w:val="Paragraphedeliste"/>
        <w:numPr>
          <w:ilvl w:val="0"/>
          <w:numId w:val="1"/>
        </w:numPr>
        <w:ind w:left="1068" w:hanging="360"/>
        <w:jc w:val="both"/>
        <w:rPr>
          <w:rFonts w:cs="Calibri"/>
          <w:b/>
          <w:sz w:val="24"/>
          <w:szCs w:val="24"/>
        </w:rPr>
      </w:pPr>
      <w:r>
        <w:rPr>
          <w:rFonts w:cs="Calibri"/>
          <w:b/>
          <w:sz w:val="24"/>
          <w:szCs w:val="24"/>
        </w:rPr>
        <w:t>la protection de la biodiversité</w:t>
      </w:r>
      <w:r w:rsidR="006376C6">
        <w:rPr>
          <w:rFonts w:cs="Calibri"/>
          <w:b/>
          <w:sz w:val="24"/>
          <w:szCs w:val="24"/>
        </w:rPr>
        <w:t> ;</w:t>
      </w:r>
    </w:p>
    <w:p w:rsidR="003F738B" w:rsidRDefault="003B1AEA" w:rsidP="006376C6">
      <w:pPr>
        <w:pStyle w:val="Paragraphedeliste"/>
        <w:numPr>
          <w:ilvl w:val="0"/>
          <w:numId w:val="1"/>
        </w:numPr>
        <w:ind w:left="1068" w:hanging="360"/>
        <w:jc w:val="both"/>
        <w:rPr>
          <w:rFonts w:cs="Calibri"/>
          <w:b/>
          <w:sz w:val="24"/>
          <w:szCs w:val="24"/>
        </w:rPr>
      </w:pPr>
      <w:r>
        <w:rPr>
          <w:rFonts w:cs="Calibri"/>
          <w:b/>
          <w:sz w:val="24"/>
          <w:szCs w:val="24"/>
        </w:rPr>
        <w:t>la protection de l’eau</w:t>
      </w:r>
      <w:r w:rsidR="006376C6">
        <w:rPr>
          <w:rFonts w:cs="Calibri"/>
          <w:b/>
          <w:sz w:val="24"/>
          <w:szCs w:val="24"/>
        </w:rPr>
        <w:t> ;</w:t>
      </w:r>
    </w:p>
    <w:p w:rsidR="003F738B" w:rsidRDefault="003B1AEA" w:rsidP="006376C6">
      <w:pPr>
        <w:pStyle w:val="Paragraphedeliste"/>
        <w:numPr>
          <w:ilvl w:val="0"/>
          <w:numId w:val="1"/>
        </w:numPr>
        <w:spacing w:after="0"/>
        <w:ind w:left="1066" w:hanging="357"/>
        <w:jc w:val="both"/>
        <w:rPr>
          <w:rFonts w:cs="Calibri"/>
          <w:b/>
          <w:sz w:val="24"/>
          <w:szCs w:val="24"/>
        </w:rPr>
      </w:pPr>
      <w:r>
        <w:rPr>
          <w:rFonts w:cs="Calibri"/>
          <w:b/>
          <w:sz w:val="24"/>
          <w:szCs w:val="24"/>
        </w:rPr>
        <w:t>le développement de l’économie</w:t>
      </w:r>
      <w:r w:rsidR="006376C6">
        <w:rPr>
          <w:rFonts w:cs="Calibri"/>
          <w:b/>
          <w:sz w:val="24"/>
          <w:szCs w:val="24"/>
        </w:rPr>
        <w:t>.</w:t>
      </w:r>
    </w:p>
    <w:p w:rsidR="006376C6" w:rsidRDefault="006376C6" w:rsidP="006376C6">
      <w:pPr>
        <w:spacing w:after="0"/>
        <w:jc w:val="both"/>
        <w:rPr>
          <w:rFonts w:cs="Calibri"/>
          <w:b/>
          <w:sz w:val="24"/>
          <w:szCs w:val="24"/>
        </w:rPr>
      </w:pPr>
    </w:p>
    <w:p w:rsidR="003F738B" w:rsidRDefault="003B1AEA" w:rsidP="006376C6">
      <w:pPr>
        <w:jc w:val="both"/>
        <w:rPr>
          <w:rFonts w:cs="Calibri"/>
          <w:b/>
          <w:sz w:val="24"/>
          <w:szCs w:val="24"/>
        </w:rPr>
      </w:pPr>
      <w:r>
        <w:rPr>
          <w:rFonts w:cs="Calibri"/>
          <w:b/>
          <w:sz w:val="24"/>
          <w:szCs w:val="24"/>
        </w:rPr>
        <w:lastRenderedPageBreak/>
        <w:t>II-1 PROTECTION DES PAYSAGES</w:t>
      </w:r>
    </w:p>
    <w:p w:rsidR="003F738B" w:rsidRDefault="003B1AEA" w:rsidP="006376C6">
      <w:pPr>
        <w:jc w:val="both"/>
        <w:rPr>
          <w:rFonts w:cs="Calibri"/>
          <w:b/>
          <w:bCs/>
          <w:sz w:val="24"/>
          <w:szCs w:val="24"/>
        </w:rPr>
      </w:pPr>
      <w:r>
        <w:rPr>
          <w:rFonts w:cs="Calibri"/>
          <w:b/>
          <w:bCs/>
          <w:sz w:val="24"/>
          <w:szCs w:val="24"/>
        </w:rPr>
        <w:t>Approche des paysages du Meygal, Mézenc, Gerbier</w:t>
      </w:r>
    </w:p>
    <w:p w:rsidR="003F738B" w:rsidRDefault="003B1AEA" w:rsidP="006376C6">
      <w:pPr>
        <w:pStyle w:val="Pa2"/>
        <w:jc w:val="both"/>
        <w:rPr>
          <w:rFonts w:ascii="Calibri" w:eastAsia="Calibri" w:hAnsi="Calibri" w:cs="Calibri"/>
        </w:rPr>
      </w:pPr>
      <w:r>
        <w:rPr>
          <w:rFonts w:ascii="Calibri" w:eastAsia="Calibri" w:hAnsi="Calibri" w:cs="Calibri"/>
        </w:rPr>
        <w:t xml:space="preserve">La Convention européenne du paysage, ratifiée par la France en 2006, définit le paysage comme « </w:t>
      </w:r>
      <w:r>
        <w:rPr>
          <w:rFonts w:ascii="Calibri" w:eastAsia="Calibri" w:hAnsi="Calibri" w:cs="Calibri"/>
          <w:i/>
          <w:iCs/>
        </w:rPr>
        <w:t xml:space="preserve">une partie de territoire telle que perçue par les populations, dont le caractère résulte de l’action de facteurs naturels et/ou humains et de leurs interrelations </w:t>
      </w:r>
      <w:r>
        <w:rPr>
          <w:rFonts w:ascii="Calibri" w:eastAsia="Calibri" w:hAnsi="Calibri" w:cs="Calibri"/>
        </w:rPr>
        <w:t>». Elle engage les parties signataires à définir, au travers des politiques de paysage, des objectifs de qualité paysagère</w:t>
      </w:r>
      <w:r>
        <w:rPr>
          <w:rFonts w:ascii="Calibri" w:eastAsia="Calibri" w:hAnsi="Calibri" w:cs="Calibri"/>
          <w:i/>
          <w:iCs/>
        </w:rPr>
        <w:t xml:space="preserve"> </w:t>
      </w:r>
      <w:r>
        <w:rPr>
          <w:rFonts w:ascii="Calibri" w:eastAsia="Calibri" w:hAnsi="Calibri" w:cs="Calibri"/>
        </w:rPr>
        <w:t>: «</w:t>
      </w:r>
      <w:r>
        <w:rPr>
          <w:rFonts w:ascii="Calibri" w:eastAsia="Calibri" w:hAnsi="Calibri" w:cs="Calibri"/>
          <w:i/>
          <w:iCs/>
        </w:rPr>
        <w:t xml:space="preserve"> formulation par les autorités publiques compétentes, pour un paysage donné, des aspirations des populations en ce qui concerne les caractéristiques paysagères de leur cadre de vie</w:t>
      </w:r>
      <w:r>
        <w:rPr>
          <w:rFonts w:ascii="Calibri" w:eastAsia="Calibri" w:hAnsi="Calibri" w:cs="Calibri"/>
        </w:rPr>
        <w:t xml:space="preserve">. » </w:t>
      </w:r>
    </w:p>
    <w:p w:rsidR="003F738B" w:rsidRDefault="003F738B" w:rsidP="006376C6">
      <w:pPr>
        <w:pStyle w:val="Default"/>
        <w:jc w:val="both"/>
        <w:rPr>
          <w:rFonts w:ascii="Calibri" w:eastAsia="Calibri" w:hAnsi="Calibri" w:cs="Calibri"/>
          <w:color w:val="auto"/>
        </w:rPr>
      </w:pPr>
    </w:p>
    <w:p w:rsidR="003F738B" w:rsidRDefault="003B1AEA" w:rsidP="006376C6">
      <w:pPr>
        <w:pStyle w:val="Pa2"/>
        <w:spacing w:after="140"/>
        <w:jc w:val="both"/>
        <w:rPr>
          <w:rFonts w:ascii="Calibri" w:eastAsia="Calibri" w:hAnsi="Calibri" w:cs="Calibri"/>
        </w:rPr>
      </w:pPr>
      <w:r>
        <w:rPr>
          <w:rFonts w:ascii="Calibri" w:eastAsia="Calibri" w:hAnsi="Calibri" w:cs="Calibri"/>
          <w:b/>
        </w:rPr>
        <w:t>L'implantation d'aérogénérateurs pose des problèmes d'intégration impossibles selon nous</w:t>
      </w:r>
      <w:r w:rsidR="00DB3F71">
        <w:rPr>
          <w:rFonts w:ascii="Calibri" w:eastAsia="Calibri" w:hAnsi="Calibri" w:cs="Calibri"/>
          <w:b/>
        </w:rPr>
        <w:t>,</w:t>
      </w:r>
      <w:r>
        <w:rPr>
          <w:rFonts w:ascii="Calibri" w:eastAsia="Calibri" w:hAnsi="Calibri" w:cs="Calibri"/>
          <w:b/>
        </w:rPr>
        <w:t xml:space="preserve"> à résoudre, de par leurs impacts dimensionnel</w:t>
      </w:r>
      <w:r w:rsidR="006376C6">
        <w:rPr>
          <w:rFonts w:ascii="Calibri" w:eastAsia="Calibri" w:hAnsi="Calibri" w:cs="Calibri"/>
          <w:b/>
        </w:rPr>
        <w:t>s, cinétiques</w:t>
      </w:r>
      <w:r>
        <w:rPr>
          <w:rFonts w:ascii="Calibri" w:eastAsia="Calibri" w:hAnsi="Calibri" w:cs="Calibri"/>
          <w:b/>
        </w:rPr>
        <w:t xml:space="preserve"> et écologiques au regard des </w:t>
      </w:r>
      <w:r>
        <w:rPr>
          <w:rFonts w:ascii="Calibri" w:eastAsia="Calibri" w:hAnsi="Calibri" w:cs="Calibri"/>
          <w:b/>
          <w:bCs/>
        </w:rPr>
        <w:t>enjeux paysagers majeurs inhérents au massif du Mézenc</w:t>
      </w:r>
      <w:r w:rsidR="006376C6">
        <w:rPr>
          <w:rFonts w:ascii="Calibri" w:eastAsia="Calibri" w:hAnsi="Calibri" w:cs="Calibri"/>
          <w:b/>
          <w:bCs/>
        </w:rPr>
        <w:t>,</w:t>
      </w:r>
      <w:r>
        <w:rPr>
          <w:rFonts w:ascii="Calibri" w:eastAsia="Calibri" w:hAnsi="Calibri" w:cs="Calibri"/>
          <w:b/>
          <w:bCs/>
        </w:rPr>
        <w:t xml:space="preserve"> autrement dit de l'ensemble Meygal, Mézenc, Gerbier. </w:t>
      </w:r>
    </w:p>
    <w:p w:rsidR="003F738B" w:rsidRDefault="003B1AEA" w:rsidP="006376C6">
      <w:pPr>
        <w:pStyle w:val="Pa2"/>
        <w:spacing w:after="140"/>
        <w:jc w:val="both"/>
        <w:rPr>
          <w:rFonts w:ascii="Calibri" w:eastAsia="Calibri" w:hAnsi="Calibri" w:cs="Calibri"/>
        </w:rPr>
      </w:pPr>
      <w:r>
        <w:rPr>
          <w:rFonts w:ascii="Calibri" w:eastAsia="Calibri" w:hAnsi="Calibri" w:cs="Calibri"/>
        </w:rPr>
        <w:t>1/ Les éoliennes sont de forts marqueurs du paysage. Elles sont amenées, bien au-delà de leur fonction immédiate, à constituer un « legs » paysager de notre temps. Ce fait mérite, quel</w:t>
      </w:r>
      <w:r w:rsidR="00B10C43">
        <w:rPr>
          <w:rFonts w:ascii="Calibri" w:eastAsia="Calibri" w:hAnsi="Calibri" w:cs="Calibri"/>
        </w:rPr>
        <w:t xml:space="preserve">les que </w:t>
      </w:r>
      <w:r>
        <w:rPr>
          <w:rFonts w:ascii="Calibri" w:eastAsia="Calibri" w:hAnsi="Calibri" w:cs="Calibri"/>
        </w:rPr>
        <w:t xml:space="preserve">soient les controverses sur l’utilité ou </w:t>
      </w:r>
      <w:r w:rsidR="006376C6">
        <w:rPr>
          <w:rFonts w:ascii="Calibri" w:eastAsia="Calibri" w:hAnsi="Calibri" w:cs="Calibri"/>
        </w:rPr>
        <w:t>l’</w:t>
      </w:r>
      <w:r>
        <w:rPr>
          <w:rFonts w:ascii="Calibri" w:eastAsia="Calibri" w:hAnsi="Calibri" w:cs="Calibri"/>
        </w:rPr>
        <w:t>efficacité de ces équipements, que ce legs soit pensé  comme une forme, une forme à acheminer et à implanter,  et non une simple fonction. Depuis une décennie, nous avons pu nous confronter physiquement, notamment sur le plateau du Mézenc et sur les plateaux dits « de la Montagne ardéchoise », à l’échelle d’une éolienne industrielle ou d’un ensemble d’éoliennes dans un site donné. Il en résulte un nouveau paysage, qui sera sûrement une des signatures de la production paysagère du début du XXI</w:t>
      </w:r>
      <w:r>
        <w:rPr>
          <w:rFonts w:ascii="Calibri" w:eastAsia="Calibri" w:hAnsi="Calibri" w:cs="Calibri"/>
          <w:vertAlign w:val="superscript"/>
        </w:rPr>
        <w:t>e</w:t>
      </w:r>
      <w:r>
        <w:rPr>
          <w:rFonts w:ascii="Calibri" w:eastAsia="Calibri" w:hAnsi="Calibri" w:cs="Calibri"/>
        </w:rPr>
        <w:t xml:space="preserve"> siècle, de la même façon que les « entrées de ville » ont signé la fin du XX</w:t>
      </w:r>
      <w:r>
        <w:rPr>
          <w:rFonts w:ascii="Calibri" w:eastAsia="Calibri" w:hAnsi="Calibri" w:cs="Calibri"/>
          <w:vertAlign w:val="superscript"/>
        </w:rPr>
        <w:t>e</w:t>
      </w:r>
      <w:r>
        <w:rPr>
          <w:rFonts w:ascii="Calibri" w:eastAsia="Calibri" w:hAnsi="Calibri" w:cs="Calibri"/>
        </w:rPr>
        <w:t xml:space="preserve"> siècle. Le moins que l’on aurait pu espérer est que la production d’installation d’éoliennes industrielles ne s’effectue pas avec la même absence de maîtrise et de recul qui a conduit à la production des entrées de ville françaises.</w:t>
      </w:r>
    </w:p>
    <w:p w:rsidR="003F738B" w:rsidRDefault="003B1AEA" w:rsidP="006376C6">
      <w:pPr>
        <w:pStyle w:val="Pa2"/>
        <w:spacing w:after="140"/>
        <w:jc w:val="both"/>
        <w:rPr>
          <w:rFonts w:ascii="Calibri" w:eastAsia="Calibri" w:hAnsi="Calibri" w:cs="Calibri"/>
        </w:rPr>
      </w:pPr>
      <w:r>
        <w:rPr>
          <w:rFonts w:ascii="Calibri" w:eastAsia="Calibri" w:hAnsi="Calibri" w:cs="Calibri"/>
        </w:rPr>
        <w:t>Nous sommes la plupart du temps face à un acte délibéré de « mitage » : dissémination d’objets standardisés dans un paysage donné, qui ne contribue pas à structurer ce paysage mais en précipite l’éclatement, le morcellement ou la perte de repères. A l’échelle de chaque commune ou de chaque groupement habité : les orientations données par les Plan Locaux d’Urbanisme ou les Chartes architecturales et paysagères vont toutes dans le sens d’une reconnaissance et d’un respect de la cohérence des groupes bâtis, du maintien d’un espace public. On tente de préserver l’ensemble des liens qui se tissent d’un fragment à un autre du paysage, qui lui donnent une « unité », contre une dissémination d</w:t>
      </w:r>
      <w:r w:rsidR="00BF2E04">
        <w:rPr>
          <w:rFonts w:ascii="Calibri" w:eastAsia="Calibri" w:hAnsi="Calibri" w:cs="Calibri"/>
        </w:rPr>
        <w:t>’objets qui s’ignorent les uns l</w:t>
      </w:r>
      <w:r>
        <w:rPr>
          <w:rFonts w:ascii="Calibri" w:eastAsia="Calibri" w:hAnsi="Calibri" w:cs="Calibri"/>
        </w:rPr>
        <w:t>es autres. L’émergence d’un paysage éolien se joue à une autre échelle, qui dépasse largement celle de la commune, voire du groupement de communes. Pour autant, la problématique du mitage progressif du territoire reste entière. Sur le plateau du Mézenc, les formes de relief et le jeu des points de vue dominants, des balcons, des horizon</w:t>
      </w:r>
      <w:r w:rsidR="00B10C43">
        <w:rPr>
          <w:rFonts w:ascii="Calibri" w:eastAsia="Calibri" w:hAnsi="Calibri" w:cs="Calibri"/>
        </w:rPr>
        <w:t>s ou des « grands espaces », sont</w:t>
      </w:r>
      <w:r>
        <w:rPr>
          <w:rFonts w:ascii="Calibri" w:eastAsia="Calibri" w:hAnsi="Calibri" w:cs="Calibri"/>
        </w:rPr>
        <w:t xml:space="preserve"> reconnu</w:t>
      </w:r>
      <w:r w:rsidR="00B10C43">
        <w:rPr>
          <w:rFonts w:ascii="Calibri" w:eastAsia="Calibri" w:hAnsi="Calibri" w:cs="Calibri"/>
        </w:rPr>
        <w:t>s</w:t>
      </w:r>
      <w:r>
        <w:rPr>
          <w:rFonts w:ascii="Calibri" w:eastAsia="Calibri" w:hAnsi="Calibri" w:cs="Calibri"/>
        </w:rPr>
        <w:t xml:space="preserve"> et promu</w:t>
      </w:r>
      <w:r w:rsidR="00B10C43">
        <w:rPr>
          <w:rFonts w:ascii="Calibri" w:eastAsia="Calibri" w:hAnsi="Calibri" w:cs="Calibri"/>
        </w:rPr>
        <w:t>s</w:t>
      </w:r>
      <w:r>
        <w:rPr>
          <w:rFonts w:ascii="Calibri" w:eastAsia="Calibri" w:hAnsi="Calibri" w:cs="Calibri"/>
        </w:rPr>
        <w:t xml:space="preserve"> comme des traits d’identité dominants à préserver (lire à ce sujet l'ensemble des atlas régionaux, des SCoT, des chartes de PNR...</w:t>
      </w:r>
      <w:r w:rsidR="00BF2E04">
        <w:rPr>
          <w:rFonts w:ascii="Calibri" w:eastAsia="Calibri" w:hAnsi="Calibri" w:cs="Calibri"/>
        </w:rPr>
        <w:t xml:space="preserve"> </w:t>
      </w:r>
      <w:r>
        <w:rPr>
          <w:rFonts w:ascii="Calibri" w:eastAsia="Calibri" w:hAnsi="Calibri" w:cs="Calibri"/>
        </w:rPr>
        <w:t xml:space="preserve">voir plus loin). De nombreux auteurs, voyageurs ou peintres ont reconnu la valeur de ce jeu complexe de reliefs, de sites construits ou naturels qui entretiennent avec de vastes espaces des rapports d’échelle, de mise en scène et confèrent au visiteur un sentiment d’élévation, de dépaysement, voire de vertige. </w:t>
      </w:r>
    </w:p>
    <w:p w:rsidR="003F738B" w:rsidRDefault="003F738B" w:rsidP="006376C6">
      <w:pPr>
        <w:pStyle w:val="Default"/>
        <w:jc w:val="both"/>
        <w:rPr>
          <w:rFonts w:ascii="Calibri" w:eastAsia="Calibri" w:hAnsi="Calibri" w:cs="Calibri"/>
        </w:rPr>
      </w:pPr>
    </w:p>
    <w:p w:rsidR="003F738B" w:rsidRDefault="003B1AEA" w:rsidP="006376C6">
      <w:pPr>
        <w:jc w:val="both"/>
        <w:rPr>
          <w:rFonts w:cs="Calibri"/>
          <w:sz w:val="24"/>
          <w:szCs w:val="24"/>
        </w:rPr>
      </w:pPr>
      <w:r>
        <w:rPr>
          <w:rFonts w:cs="Calibri"/>
          <w:b/>
          <w:sz w:val="24"/>
          <w:szCs w:val="24"/>
        </w:rPr>
        <w:t>Vues lointaines ou périmètre éloigné</w:t>
      </w:r>
    </w:p>
    <w:p w:rsidR="003F738B" w:rsidRDefault="003B1AEA" w:rsidP="006376C6">
      <w:pPr>
        <w:pStyle w:val="Default"/>
        <w:spacing w:after="140" w:line="221" w:lineRule="atLeast"/>
        <w:jc w:val="both"/>
        <w:rPr>
          <w:rFonts w:ascii="Calibri" w:eastAsia="Calibri" w:hAnsi="Calibri" w:cs="Calibri"/>
          <w:color w:val="auto"/>
        </w:rPr>
      </w:pPr>
      <w:r>
        <w:rPr>
          <w:rFonts w:ascii="Calibri" w:eastAsia="Calibri" w:hAnsi="Calibri" w:cs="Calibri"/>
        </w:rPr>
        <w:t>L'ensemble des</w:t>
      </w:r>
      <w:r w:rsidR="00BF2E04">
        <w:rPr>
          <w:rFonts w:ascii="Calibri" w:eastAsia="Calibri" w:hAnsi="Calibri" w:cs="Calibri"/>
        </w:rPr>
        <w:t xml:space="preserve"> documents cités, comme la</w:t>
      </w:r>
      <w:r>
        <w:rPr>
          <w:rFonts w:ascii="Calibri" w:eastAsia="Calibri" w:hAnsi="Calibri" w:cs="Calibri"/>
        </w:rPr>
        <w:t xml:space="preserve"> </w:t>
      </w:r>
      <w:r>
        <w:rPr>
          <w:rFonts w:ascii="Calibri" w:eastAsia="Calibri" w:hAnsi="Calibri" w:cs="Calibri"/>
          <w:bCs/>
        </w:rPr>
        <w:t>"carte des zones favorables au développeme</w:t>
      </w:r>
      <w:r w:rsidR="00D7441B">
        <w:rPr>
          <w:rFonts w:ascii="Calibri" w:eastAsia="Calibri" w:hAnsi="Calibri" w:cs="Calibri"/>
          <w:bCs/>
        </w:rPr>
        <w:t>nt de l'énergie éolienne" exclut</w:t>
      </w:r>
      <w:r>
        <w:rPr>
          <w:rFonts w:ascii="Calibri" w:eastAsia="Calibri" w:hAnsi="Calibri" w:cs="Calibri"/>
          <w:bCs/>
        </w:rPr>
        <w:t xml:space="preserve"> des zones favorables à l'éolien principalement dans les ensembles paysagers proches des sites emblématiques (Meygal, Mézenc et Gerbier) mais ne tient pas compte des vues éloignées, autrement dit les vallées et les plateaux éloignés tel le Devès, zones à partir desquelles le massif du Mézenc impose une puissance paysagère qu'il conviendrait de préserver </w:t>
      </w:r>
      <w:r>
        <w:rPr>
          <w:rFonts w:ascii="Calibri" w:eastAsia="Calibri" w:hAnsi="Calibri" w:cs="Calibri"/>
          <w:bCs/>
        </w:rPr>
        <w:lastRenderedPageBreak/>
        <w:t>pour conserver l'ide</w:t>
      </w:r>
      <w:r w:rsidR="00BF2E04">
        <w:rPr>
          <w:rFonts w:ascii="Calibri" w:eastAsia="Calibri" w:hAnsi="Calibri" w:cs="Calibri"/>
          <w:bCs/>
        </w:rPr>
        <w:t>ntité des pays concernés pour le</w:t>
      </w:r>
      <w:r>
        <w:rPr>
          <w:rFonts w:ascii="Calibri" w:eastAsia="Calibri" w:hAnsi="Calibri" w:cs="Calibri"/>
          <w:bCs/>
        </w:rPr>
        <w:t>quel il présente un repère culturel</w:t>
      </w:r>
      <w:r>
        <w:rPr>
          <w:rStyle w:val="Appelnotedebasdep1"/>
          <w:rFonts w:ascii="Calibri" w:eastAsia="Calibri" w:hAnsi="Calibri" w:cs="Calibri"/>
          <w:color w:val="auto"/>
        </w:rPr>
        <w:footnoteReference w:id="2"/>
      </w:r>
      <w:r>
        <w:rPr>
          <w:rFonts w:ascii="Calibri" w:eastAsia="Calibri" w:hAnsi="Calibri" w:cs="Calibri"/>
          <w:color w:val="auto"/>
        </w:rPr>
        <w:t xml:space="preserve">. Ces traits relèvent des « grands espaces » : les « Hautes terres », telles que le formule ce même document. On peut relever la très grande qualité paysagère de ces lieux, de sa position dominante conférant des panoramas spectaculaires sur la Haute-Loire et l'Ardèche et dont l'écosymbole central est constitué par le massif du Mézenc (site classé au titre du code de l'Environnement pour la protection des sites et paysages), lui-même rayonnant par sa silhouette singulière sur un vaste territoire dont a tenu compte la zone d'exclusion que nous proposons. </w:t>
      </w:r>
    </w:p>
    <w:p w:rsidR="003F738B" w:rsidRDefault="003B1AEA" w:rsidP="006376C6">
      <w:pPr>
        <w:pStyle w:val="Default"/>
        <w:spacing w:after="140" w:line="221" w:lineRule="atLeast"/>
        <w:jc w:val="both"/>
        <w:rPr>
          <w:rFonts w:ascii="Calibri" w:eastAsia="Calibri" w:hAnsi="Calibri" w:cs="Calibri"/>
          <w:i/>
          <w:color w:val="auto"/>
        </w:rPr>
      </w:pPr>
      <w:r>
        <w:rPr>
          <w:rFonts w:ascii="Calibri" w:eastAsia="Calibri" w:hAnsi="Calibri" w:cs="Calibri"/>
          <w:color w:val="auto"/>
        </w:rPr>
        <w:t>Cet atlas régional des paysages, porté par les services de l'Etat, fait également mention d'une certaine pression exercée sur cet ensemble de paysage</w:t>
      </w:r>
      <w:r w:rsidR="00BF2E04">
        <w:rPr>
          <w:rFonts w:ascii="Calibri" w:eastAsia="Calibri" w:hAnsi="Calibri" w:cs="Calibri"/>
          <w:color w:val="auto"/>
        </w:rPr>
        <w:t>s</w:t>
      </w:r>
      <w:r>
        <w:rPr>
          <w:rFonts w:ascii="Calibri" w:eastAsia="Calibri" w:hAnsi="Calibri" w:cs="Calibri"/>
          <w:color w:val="auto"/>
        </w:rPr>
        <w:t xml:space="preserve"> du Mézenc par les projets éoliens constatant la présence d</w:t>
      </w:r>
      <w:r w:rsidR="00BF2E04">
        <w:rPr>
          <w:rFonts w:ascii="Calibri" w:eastAsia="Calibri" w:hAnsi="Calibri" w:cs="Calibri"/>
          <w:color w:val="auto"/>
        </w:rPr>
        <w:t>es centrales éoliennes de Saint-</w:t>
      </w:r>
      <w:r>
        <w:rPr>
          <w:rFonts w:ascii="Calibri" w:eastAsia="Calibri" w:hAnsi="Calibri" w:cs="Calibri"/>
          <w:color w:val="auto"/>
        </w:rPr>
        <w:t>Clément, de Moude</w:t>
      </w:r>
      <w:r w:rsidR="00BE66DC">
        <w:rPr>
          <w:rFonts w:ascii="Calibri" w:eastAsia="Calibri" w:hAnsi="Calibri" w:cs="Calibri"/>
          <w:color w:val="auto"/>
        </w:rPr>
        <w:t>yres-Freycenet-Latour, de Saint-</w:t>
      </w:r>
      <w:r>
        <w:rPr>
          <w:rFonts w:ascii="Calibri" w:eastAsia="Calibri" w:hAnsi="Calibri" w:cs="Calibri"/>
          <w:color w:val="auto"/>
        </w:rPr>
        <w:t xml:space="preserve">Agrève. </w:t>
      </w:r>
    </w:p>
    <w:p w:rsidR="003F738B" w:rsidRDefault="00BF2E04" w:rsidP="006376C6">
      <w:pPr>
        <w:jc w:val="both"/>
        <w:rPr>
          <w:rFonts w:cs="Calibri"/>
          <w:sz w:val="24"/>
          <w:szCs w:val="24"/>
        </w:rPr>
      </w:pPr>
      <w:r>
        <w:rPr>
          <w:rFonts w:cs="Calibri"/>
          <w:i/>
          <w:sz w:val="24"/>
          <w:szCs w:val="24"/>
        </w:rPr>
        <w:t>A partir d</w:t>
      </w:r>
      <w:r w:rsidR="003B1AEA">
        <w:rPr>
          <w:rFonts w:cs="Calibri"/>
          <w:i/>
          <w:sz w:val="24"/>
          <w:szCs w:val="24"/>
        </w:rPr>
        <w:t>e ces constats, le Parc Naturel Régional des Monts d'Ardèche, dans son schéma global</w:t>
      </w:r>
      <w:r w:rsidR="003B1AEA">
        <w:rPr>
          <w:rFonts w:cs="Calibri"/>
          <w:sz w:val="24"/>
          <w:szCs w:val="24"/>
        </w:rPr>
        <w:t xml:space="preserve"> de développement éolien</w:t>
      </w:r>
      <w:r w:rsidR="003B1AEA">
        <w:rPr>
          <w:rStyle w:val="Appelnotedebasdep1"/>
          <w:rFonts w:cs="Calibri"/>
          <w:sz w:val="24"/>
          <w:szCs w:val="24"/>
        </w:rPr>
        <w:footnoteReference w:id="3"/>
      </w:r>
      <w:r>
        <w:rPr>
          <w:rFonts w:cs="Calibri"/>
          <w:sz w:val="24"/>
          <w:szCs w:val="24"/>
        </w:rPr>
        <w:t>, insistant</w:t>
      </w:r>
      <w:r w:rsidR="003B1AEA">
        <w:rPr>
          <w:rFonts w:cs="Calibri"/>
          <w:sz w:val="24"/>
          <w:szCs w:val="24"/>
        </w:rPr>
        <w:t xml:space="preserve"> sur la nécessité de « </w:t>
      </w:r>
      <w:r w:rsidR="003B1AEA">
        <w:rPr>
          <w:rFonts w:cs="Calibri"/>
          <w:i/>
          <w:iCs/>
          <w:sz w:val="24"/>
          <w:szCs w:val="24"/>
        </w:rPr>
        <w:t>garantir le maintien d’une identité territoriale fondée sur des paysages remarquables</w:t>
      </w:r>
      <w:r w:rsidR="003B1AEA">
        <w:rPr>
          <w:rFonts w:cs="Calibri"/>
          <w:sz w:val="24"/>
          <w:szCs w:val="24"/>
        </w:rPr>
        <w:t> » et de porter une « </w:t>
      </w:r>
      <w:r w:rsidR="003B1AEA">
        <w:rPr>
          <w:rFonts w:cs="Calibri"/>
          <w:i/>
          <w:iCs/>
          <w:sz w:val="24"/>
          <w:szCs w:val="24"/>
        </w:rPr>
        <w:t>attention particulière à la question de la covisibilité entre les projets</w:t>
      </w:r>
      <w:r w:rsidR="003B1AEA">
        <w:rPr>
          <w:rFonts w:cs="Calibri"/>
          <w:sz w:val="24"/>
          <w:szCs w:val="24"/>
        </w:rPr>
        <w:t> », conclut que le Mézenc constitue une « </w:t>
      </w:r>
      <w:r w:rsidR="003B1AEA">
        <w:rPr>
          <w:rFonts w:cs="Calibri"/>
          <w:i/>
          <w:iCs/>
          <w:sz w:val="24"/>
          <w:szCs w:val="24"/>
        </w:rPr>
        <w:t>zone de sensibilité majeure sur le plan paysager</w:t>
      </w:r>
      <w:r w:rsidR="003B1AEA">
        <w:rPr>
          <w:rFonts w:cs="Calibri"/>
          <w:sz w:val="24"/>
          <w:szCs w:val="24"/>
        </w:rPr>
        <w:t> » et donc inopportune au développement de l'éolien in</w:t>
      </w:r>
      <w:r w:rsidR="00BE66DC">
        <w:rPr>
          <w:rFonts w:cs="Calibri"/>
          <w:sz w:val="24"/>
          <w:szCs w:val="24"/>
        </w:rPr>
        <w:t>dustriel. Le Schéma Régional Rhô</w:t>
      </w:r>
      <w:r w:rsidR="003B1AEA">
        <w:rPr>
          <w:rFonts w:cs="Calibri"/>
          <w:sz w:val="24"/>
          <w:szCs w:val="24"/>
        </w:rPr>
        <w:t>ne-Alpes</w:t>
      </w:r>
      <w:r w:rsidR="003B1AEA">
        <w:rPr>
          <w:rStyle w:val="Appelnotedebasdep1"/>
          <w:rFonts w:cs="Calibri"/>
          <w:sz w:val="24"/>
          <w:szCs w:val="24"/>
        </w:rPr>
        <w:footnoteReference w:id="4"/>
      </w:r>
      <w:r w:rsidR="003B1AEA">
        <w:rPr>
          <w:rFonts w:cs="Calibri"/>
          <w:sz w:val="24"/>
          <w:szCs w:val="24"/>
        </w:rPr>
        <w:t xml:space="preserve"> préconise ainsi de ne pas implanter d'éoliennes sur cette partie nord </w:t>
      </w:r>
      <w:r>
        <w:rPr>
          <w:rFonts w:cs="Calibri"/>
          <w:sz w:val="24"/>
          <w:szCs w:val="24"/>
        </w:rPr>
        <w:t xml:space="preserve">du massif. Le schéma régional </w:t>
      </w:r>
      <w:r w:rsidR="003B1AEA">
        <w:rPr>
          <w:rFonts w:cs="Calibri"/>
          <w:sz w:val="24"/>
          <w:szCs w:val="24"/>
        </w:rPr>
        <w:t>Auvergne, à l'appui des travaux de l'atlas, conclut également à l'identification de ces « paysages volcaniques exceptionnels » (auquel le Mézenc</w:t>
      </w:r>
      <w:r>
        <w:rPr>
          <w:rFonts w:cs="Calibri"/>
          <w:sz w:val="24"/>
          <w:szCs w:val="24"/>
        </w:rPr>
        <w:t xml:space="preserve"> appartient en compagnie de la c</w:t>
      </w:r>
      <w:r w:rsidR="003B1AEA">
        <w:rPr>
          <w:rFonts w:cs="Calibri"/>
          <w:sz w:val="24"/>
          <w:szCs w:val="24"/>
        </w:rPr>
        <w:t>haîne des Puys, du massif du Sancy, du volcan cantalien, des plateaux d'Aubrac...) comme étant exclus des zones identifiées favorables au développement de l'énergie éolienne</w:t>
      </w:r>
      <w:r w:rsidR="003B1AEA">
        <w:rPr>
          <w:rStyle w:val="Appelnotedebasdep1"/>
          <w:rFonts w:cs="Calibri"/>
          <w:sz w:val="24"/>
          <w:szCs w:val="24"/>
        </w:rPr>
        <w:footnoteReference w:id="5"/>
      </w:r>
      <w:r w:rsidR="003B1AEA">
        <w:rPr>
          <w:rFonts w:cs="Calibri"/>
          <w:sz w:val="24"/>
          <w:szCs w:val="24"/>
        </w:rPr>
        <w:t xml:space="preserve">. </w:t>
      </w:r>
    </w:p>
    <w:p w:rsidR="003F738B" w:rsidRDefault="003B1AEA" w:rsidP="006376C6">
      <w:pPr>
        <w:jc w:val="both"/>
        <w:rPr>
          <w:rFonts w:cs="Calibri"/>
          <w:sz w:val="24"/>
          <w:szCs w:val="24"/>
        </w:rPr>
      </w:pPr>
      <w:r>
        <w:rPr>
          <w:rFonts w:cs="Calibri"/>
          <w:sz w:val="24"/>
          <w:szCs w:val="24"/>
        </w:rPr>
        <w:t>Le cahier de gestion du site classé mentionne dans sa partie « Perspectives</w:t>
      </w:r>
      <w:r>
        <w:rPr>
          <w:rStyle w:val="Appelnotedebasdep1"/>
          <w:rFonts w:cs="Calibri"/>
          <w:sz w:val="24"/>
          <w:szCs w:val="24"/>
        </w:rPr>
        <w:footnoteReference w:id="6"/>
      </w:r>
      <w:r>
        <w:rPr>
          <w:rFonts w:cs="Calibri"/>
          <w:sz w:val="24"/>
          <w:szCs w:val="24"/>
        </w:rPr>
        <w:t> », le lien évident entre les sommets et le plateau du Mézenc dans son ensemble. De nombreux belvédèr</w:t>
      </w:r>
      <w:r w:rsidR="00BF2E04">
        <w:rPr>
          <w:rFonts w:cs="Calibri"/>
          <w:sz w:val="24"/>
          <w:szCs w:val="24"/>
        </w:rPr>
        <w:t>es sont fréquentés en nombre : croix de Peccata, mont Signon, r</w:t>
      </w:r>
      <w:r>
        <w:rPr>
          <w:rFonts w:cs="Calibri"/>
          <w:sz w:val="24"/>
          <w:szCs w:val="24"/>
        </w:rPr>
        <w:t>oches de Fay... Les politiques publiques de paysage, port</w:t>
      </w:r>
      <w:r w:rsidR="00BF2E04">
        <w:rPr>
          <w:rFonts w:cs="Calibri"/>
          <w:sz w:val="24"/>
          <w:szCs w:val="24"/>
        </w:rPr>
        <w:t>ées par les populations locales</w:t>
      </w:r>
      <w:r>
        <w:rPr>
          <w:rFonts w:cs="Calibri"/>
          <w:sz w:val="24"/>
          <w:szCs w:val="24"/>
        </w:rPr>
        <w:t xml:space="preserve"> (classement du site du Mézenc, plan de Parc du PNRMA) et d'aménagement des territoires (travaux en cours des SCoT du Velay et du SCoT Centre Ardèche) témoignent des enjeux paysagers majeurs de ce secteur de la région. </w:t>
      </w:r>
    </w:p>
    <w:p w:rsidR="003F738B" w:rsidRDefault="003B1AEA" w:rsidP="006376C6">
      <w:pPr>
        <w:jc w:val="both"/>
        <w:rPr>
          <w:rFonts w:cs="Calibri"/>
          <w:sz w:val="24"/>
          <w:szCs w:val="24"/>
          <w:lang w:eastAsia="ja-JP"/>
        </w:rPr>
      </w:pPr>
      <w:r>
        <w:rPr>
          <w:rFonts w:cs="Calibri"/>
          <w:sz w:val="24"/>
          <w:szCs w:val="24"/>
          <w:lang w:eastAsia="ja-JP"/>
        </w:rPr>
        <w:t>Quand on arrive du Forez en Haute-Loire par Saint-André-de-Chalencon, en Haute-Loire, au hameau de Vérines, on est saisi par l'ampleur du massif volcanique qui occupe largement le centre de l'horizon, garni de sucs élancés au levant et au couchant : le Meygal. Ensuite, sur le chemin de la vallée de la Loire, à S</w:t>
      </w:r>
      <w:r w:rsidR="00BF2E04">
        <w:rPr>
          <w:rFonts w:cs="Calibri"/>
          <w:sz w:val="24"/>
          <w:szCs w:val="24"/>
          <w:lang w:eastAsia="ja-JP"/>
        </w:rPr>
        <w:t>aint-Pierre-</w:t>
      </w:r>
      <w:r>
        <w:rPr>
          <w:rFonts w:cs="Calibri"/>
          <w:sz w:val="24"/>
          <w:szCs w:val="24"/>
          <w:lang w:eastAsia="ja-JP"/>
        </w:rPr>
        <w:t xml:space="preserve">Duchamp, c'est toute la montagne du Mézenc qui prend le relais. Le souvenir du panorama offert à Vérines n'est pas encore estompé que celui-là le ravive. </w:t>
      </w:r>
    </w:p>
    <w:p w:rsidR="003F738B" w:rsidRDefault="003B1AEA" w:rsidP="00CE5D10">
      <w:pPr>
        <w:jc w:val="both"/>
        <w:rPr>
          <w:rFonts w:cs="Calibri"/>
          <w:sz w:val="24"/>
          <w:szCs w:val="24"/>
          <w:lang w:eastAsia="ja-JP"/>
        </w:rPr>
      </w:pPr>
      <w:r>
        <w:rPr>
          <w:rFonts w:cs="Calibri"/>
          <w:sz w:val="24"/>
          <w:szCs w:val="24"/>
          <w:lang w:eastAsia="ja-JP"/>
        </w:rPr>
        <w:t xml:space="preserve">Si l'on vient du Cézallier ou </w:t>
      </w:r>
      <w:r w:rsidR="00BF2E04">
        <w:rPr>
          <w:rFonts w:cs="Calibri"/>
          <w:sz w:val="24"/>
          <w:szCs w:val="24"/>
          <w:lang w:eastAsia="ja-JP"/>
        </w:rPr>
        <w:t>de la Margeride pour rejoindre L</w:t>
      </w:r>
      <w:r>
        <w:rPr>
          <w:rFonts w:cs="Calibri"/>
          <w:sz w:val="24"/>
          <w:szCs w:val="24"/>
          <w:lang w:eastAsia="ja-JP"/>
        </w:rPr>
        <w:t>e Puy-en-Velay, à Fix-Saint-Genest ou Montbonnet, on est envoûté par la majesté de cet enchaînement de volcans que constituent les «sucs» de l'Yssingelais. Ces vues d'une rar</w:t>
      </w:r>
      <w:r w:rsidR="00BF2E04">
        <w:rPr>
          <w:rFonts w:cs="Calibri"/>
          <w:sz w:val="24"/>
          <w:szCs w:val="24"/>
          <w:lang w:eastAsia="ja-JP"/>
        </w:rPr>
        <w:t>e qualité imposent de conserver</w:t>
      </w:r>
      <w:r>
        <w:rPr>
          <w:rFonts w:cs="Calibri"/>
          <w:sz w:val="24"/>
          <w:szCs w:val="24"/>
          <w:lang w:eastAsia="ja-JP"/>
        </w:rPr>
        <w:t xml:space="preserve"> naturel et vierge d’obstacles cet environnement.</w:t>
      </w:r>
    </w:p>
    <w:p w:rsidR="003F738B" w:rsidRDefault="003B1AEA" w:rsidP="00CE5D10">
      <w:pPr>
        <w:jc w:val="both"/>
        <w:rPr>
          <w:rFonts w:cs="Calibri"/>
          <w:sz w:val="24"/>
          <w:szCs w:val="24"/>
          <w:lang w:eastAsia="ja-JP"/>
        </w:rPr>
      </w:pPr>
      <w:r>
        <w:rPr>
          <w:rFonts w:cs="Calibri"/>
          <w:sz w:val="24"/>
          <w:szCs w:val="24"/>
          <w:lang w:eastAsia="ja-JP"/>
        </w:rPr>
        <w:lastRenderedPageBreak/>
        <w:t>De toutes parts, que l'on re</w:t>
      </w:r>
      <w:r w:rsidR="00CE5D10">
        <w:rPr>
          <w:rFonts w:cs="Calibri"/>
          <w:sz w:val="24"/>
          <w:szCs w:val="24"/>
          <w:lang w:eastAsia="ja-JP"/>
        </w:rPr>
        <w:t>monte de l'e</w:t>
      </w:r>
      <w:r>
        <w:rPr>
          <w:rFonts w:cs="Calibri"/>
          <w:sz w:val="24"/>
          <w:szCs w:val="24"/>
          <w:lang w:eastAsia="ja-JP"/>
        </w:rPr>
        <w:t>st pa</w:t>
      </w:r>
      <w:r w:rsidR="00CE5D10">
        <w:rPr>
          <w:rFonts w:cs="Calibri"/>
          <w:sz w:val="24"/>
          <w:szCs w:val="24"/>
          <w:lang w:eastAsia="ja-JP"/>
        </w:rPr>
        <w:t>r les affluents du Rhône ou du s</w:t>
      </w:r>
      <w:r>
        <w:rPr>
          <w:rFonts w:cs="Calibri"/>
          <w:sz w:val="24"/>
          <w:szCs w:val="24"/>
          <w:lang w:eastAsia="ja-JP"/>
        </w:rPr>
        <w:t>ud p</w:t>
      </w:r>
      <w:r w:rsidR="00CE5D10">
        <w:rPr>
          <w:rFonts w:cs="Calibri"/>
          <w:sz w:val="24"/>
          <w:szCs w:val="24"/>
          <w:lang w:eastAsia="ja-JP"/>
        </w:rPr>
        <w:t xml:space="preserve">ar la vallée de l'Ardèche, les monts Mézenc, Gerbier de </w:t>
      </w:r>
      <w:r>
        <w:rPr>
          <w:rFonts w:cs="Calibri"/>
          <w:sz w:val="24"/>
          <w:szCs w:val="24"/>
          <w:lang w:eastAsia="ja-JP"/>
        </w:rPr>
        <w:t>Jonc, Lisieux exercent une puissante attraction et sont des rep</w:t>
      </w:r>
      <w:r w:rsidR="00CE5D10">
        <w:rPr>
          <w:rFonts w:cs="Calibri"/>
          <w:sz w:val="24"/>
          <w:szCs w:val="24"/>
          <w:lang w:eastAsia="ja-JP"/>
        </w:rPr>
        <w:t>ères identitaires du Velay et du Vivarais</w:t>
      </w:r>
      <w:r>
        <w:rPr>
          <w:rFonts w:cs="Calibri"/>
          <w:sz w:val="24"/>
          <w:szCs w:val="24"/>
          <w:lang w:eastAsia="ja-JP"/>
        </w:rPr>
        <w:t xml:space="preserve">.  </w:t>
      </w:r>
    </w:p>
    <w:p w:rsidR="003F738B" w:rsidRDefault="003B1AEA">
      <w:pPr>
        <w:pStyle w:val="Corpsdetexte3"/>
        <w:ind w:right="567"/>
        <w:jc w:val="both"/>
        <w:rPr>
          <w:rFonts w:ascii="Calibri" w:eastAsia="Calibri" w:hAnsi="Calibri" w:cs="Calibri"/>
          <w:bCs/>
          <w:sz w:val="24"/>
          <w:szCs w:val="24"/>
        </w:rPr>
      </w:pPr>
      <w:r>
        <w:rPr>
          <w:noProof/>
          <w:lang w:eastAsia="fr-FR" w:bidi="ar-SA"/>
        </w:rPr>
        <w:drawing>
          <wp:inline distT="0" distB="0" distL="0" distR="0">
            <wp:extent cx="5760720" cy="3281680"/>
            <wp:effectExtent l="0" t="0" r="0" b="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pic:cNvPicPr>
                      <a:picLocks noChangeAspect="1"/>
                      <a:extLst>
                        <a:ext uri="smNativeData">
                          <sm:smNativeData xmlns:ve="http://schemas.openxmlformats.org/markup-compatibility/2006" xmlns="" xmlns:o="urn:schemas-microsoft-com:office:office" xmlns:v="urn:schemas-microsoft-com:vml" xmlns:w10="urn:schemas-microsoft-com:office:word" xmlns:w="http://schemas.openxmlformats.org/wordprocessingml/2006/main" xmlns:sm="smNativeData" val="SMDATA_16_pZEf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NAAAAB6AAAAAAAAAAAAAAAAAAAAAAAAAAAAAAAAAAAAAAAAAAAAAAcCMAADAUAAAAAAAAAAAAAAAAAAA="/>
                        </a:ext>
                      </a:extLst>
                    </pic:cNvPicPr>
                  </pic:nvPicPr>
                  <pic:blipFill>
                    <a:blip r:embed="rId11" cstate="print"/>
                    <a:stretch>
                      <a:fillRect/>
                    </a:stretch>
                  </pic:blipFill>
                  <pic:spPr>
                    <a:xfrm>
                      <a:off x="0" y="0"/>
                      <a:ext cx="5760720" cy="3281680"/>
                    </a:xfrm>
                    <a:prstGeom prst="rect">
                      <a:avLst/>
                    </a:prstGeom>
                    <a:noFill/>
                    <a:ln w="12700">
                      <a:noFill/>
                    </a:ln>
                  </pic:spPr>
                </pic:pic>
              </a:graphicData>
            </a:graphic>
          </wp:inline>
        </w:drawing>
      </w:r>
    </w:p>
    <w:p w:rsidR="003F738B" w:rsidRDefault="003F738B">
      <w:pPr>
        <w:pStyle w:val="Corpsdetexte3"/>
        <w:ind w:right="567"/>
        <w:jc w:val="both"/>
        <w:rPr>
          <w:rFonts w:ascii="Calibri" w:eastAsia="Calibri" w:hAnsi="Calibri" w:cs="Calibri"/>
          <w:bCs/>
          <w:sz w:val="24"/>
          <w:szCs w:val="24"/>
        </w:rPr>
      </w:pPr>
    </w:p>
    <w:p w:rsidR="003F738B" w:rsidRDefault="003B1AEA" w:rsidP="00CE5D10">
      <w:pPr>
        <w:pStyle w:val="Corpsdetexte3"/>
        <w:spacing w:after="0"/>
        <w:ind w:right="567"/>
        <w:jc w:val="both"/>
        <w:rPr>
          <w:rFonts w:ascii="Calibri" w:eastAsia="Calibri" w:hAnsi="Calibri" w:cs="Calibri"/>
          <w:b/>
          <w:bCs/>
          <w:sz w:val="24"/>
          <w:szCs w:val="24"/>
        </w:rPr>
      </w:pPr>
      <w:r>
        <w:rPr>
          <w:rFonts w:ascii="Calibri" w:eastAsia="Calibri" w:hAnsi="Calibri" w:cs="Calibri"/>
          <w:b/>
          <w:bCs/>
          <w:sz w:val="24"/>
          <w:szCs w:val="24"/>
        </w:rPr>
        <w:t>II-2- Cohérence avec les documents réglementaires</w:t>
      </w:r>
    </w:p>
    <w:p w:rsidR="003F738B" w:rsidRDefault="003F738B">
      <w:pPr>
        <w:pStyle w:val="Corpsdetexte3"/>
        <w:ind w:right="567"/>
        <w:jc w:val="both"/>
        <w:rPr>
          <w:rFonts w:ascii="Calibri" w:eastAsia="Calibri" w:hAnsi="Calibri" w:cs="Calibri"/>
          <w:bCs/>
          <w:sz w:val="24"/>
          <w:szCs w:val="24"/>
        </w:rPr>
      </w:pPr>
    </w:p>
    <w:p w:rsidR="003F738B" w:rsidRDefault="003B1AEA" w:rsidP="00CE5D10">
      <w:pPr>
        <w:pStyle w:val="Standard"/>
        <w:tabs>
          <w:tab w:val="left" w:pos="9639"/>
        </w:tabs>
        <w:spacing w:after="57"/>
        <w:jc w:val="both"/>
        <w:rPr>
          <w:sz w:val="24"/>
          <w:szCs w:val="24"/>
        </w:rPr>
      </w:pPr>
      <w:r>
        <w:rPr>
          <w:sz w:val="24"/>
          <w:szCs w:val="24"/>
        </w:rPr>
        <w:t>L'analyse environnementale conduite par la région Rhône-Alpes en 2012 sur la zone Mézenc-Gerbier lors de l'élaboration du schém</w:t>
      </w:r>
      <w:r w:rsidR="00CE5D10">
        <w:rPr>
          <w:sz w:val="24"/>
          <w:szCs w:val="24"/>
        </w:rPr>
        <w:t>a régional éolien signalait le m</w:t>
      </w:r>
      <w:r>
        <w:rPr>
          <w:sz w:val="24"/>
          <w:szCs w:val="24"/>
        </w:rPr>
        <w:t>ont Mézenc comme sommet nécessitant une mise à distance de 10 km de toute éolienne industrielle. L'Auvergne, pour sa part, avec</w:t>
      </w:r>
      <w:r w:rsidR="00CE5D10">
        <w:rPr>
          <w:sz w:val="24"/>
          <w:szCs w:val="24"/>
        </w:rPr>
        <w:t xml:space="preserve"> le SCOT du Velay, en août 2016</w:t>
      </w:r>
      <w:r>
        <w:rPr>
          <w:rStyle w:val="Appelnotedebasdep1"/>
          <w:sz w:val="24"/>
          <w:szCs w:val="24"/>
        </w:rPr>
        <w:footnoteReference w:id="7"/>
      </w:r>
      <w:r>
        <w:rPr>
          <w:sz w:val="24"/>
          <w:szCs w:val="24"/>
        </w:rPr>
        <w:t>, rappelle que le Schéma Régional Éolien fait office de planification géographique des installations classées et que les projets éoliens doivent se faire en priorité dans les zones définies comme favorables ; le SCOT du Velay confirme par ailleurs</w:t>
      </w:r>
      <w:r w:rsidR="00CE5D10">
        <w:rPr>
          <w:sz w:val="24"/>
          <w:szCs w:val="24"/>
        </w:rPr>
        <w:t>,</w:t>
      </w:r>
      <w:r>
        <w:rPr>
          <w:sz w:val="24"/>
          <w:szCs w:val="24"/>
        </w:rPr>
        <w:t xml:space="preserve"> dans son Projet d'Aménagement et de développement durable, le tracé les zones du site emblématique à valoriser et à préserver de la sur-fréquentation tout en préconisant une gestion des dynamiques d'enfrichement pour les paysages semi-boisés :</w:t>
      </w:r>
    </w:p>
    <w:p w:rsidR="003F738B" w:rsidRDefault="003F738B">
      <w:pPr>
        <w:pStyle w:val="Standard"/>
        <w:spacing w:after="57"/>
        <w:ind w:right="567"/>
        <w:jc w:val="both"/>
        <w:rPr>
          <w:sz w:val="24"/>
          <w:szCs w:val="24"/>
        </w:rPr>
      </w:pPr>
    </w:p>
    <w:p w:rsidR="003F738B" w:rsidRDefault="003F738B">
      <w:pPr>
        <w:pStyle w:val="Standard"/>
        <w:spacing w:after="57"/>
        <w:ind w:right="567"/>
        <w:jc w:val="both"/>
        <w:rPr>
          <w:sz w:val="24"/>
          <w:szCs w:val="24"/>
        </w:rPr>
      </w:pPr>
    </w:p>
    <w:p w:rsidR="003F738B" w:rsidRDefault="003F738B">
      <w:pPr>
        <w:pStyle w:val="Standard"/>
        <w:spacing w:after="57"/>
        <w:ind w:right="567"/>
        <w:jc w:val="both"/>
        <w:rPr>
          <w:sz w:val="24"/>
          <w:szCs w:val="24"/>
        </w:rPr>
      </w:pPr>
    </w:p>
    <w:p w:rsidR="00CE5D10" w:rsidRDefault="00CE5D10">
      <w:pPr>
        <w:pStyle w:val="Standard"/>
        <w:spacing w:after="57"/>
        <w:ind w:right="567"/>
        <w:jc w:val="both"/>
        <w:rPr>
          <w:sz w:val="24"/>
          <w:szCs w:val="24"/>
        </w:rPr>
      </w:pPr>
    </w:p>
    <w:p w:rsidR="003F738B" w:rsidRDefault="003F738B">
      <w:pPr>
        <w:pStyle w:val="Standard"/>
        <w:spacing w:after="57"/>
        <w:ind w:right="567"/>
        <w:jc w:val="both"/>
        <w:rPr>
          <w:sz w:val="24"/>
          <w:szCs w:val="24"/>
        </w:rPr>
      </w:pPr>
    </w:p>
    <w:tbl>
      <w:tblPr>
        <w:tblW w:w="10695" w:type="dxa"/>
        <w:tblCellMar>
          <w:left w:w="10" w:type="dxa"/>
          <w:right w:w="10" w:type="dxa"/>
        </w:tblCellMar>
        <w:tblLook w:val="0000" w:firstRow="0" w:lastRow="0" w:firstColumn="0" w:lastColumn="0" w:noHBand="0" w:noVBand="0"/>
      </w:tblPr>
      <w:tblGrid>
        <w:gridCol w:w="5713"/>
        <w:gridCol w:w="4982"/>
      </w:tblGrid>
      <w:tr w:rsidR="003F738B">
        <w:trPr>
          <w:trHeight w:val="6"/>
        </w:trPr>
        <w:tc>
          <w:tcPr>
            <w:tcW w:w="4761" w:type="dxa"/>
            <w:tcBorders>
              <w:top w:val="nil"/>
              <w:left w:val="nil"/>
              <w:bottom w:val="nil"/>
              <w:right w:val="nil"/>
              <w:tl2br w:val="nil"/>
              <w:tr2bl w:val="nil"/>
            </w:tcBorders>
            <w:tcMar>
              <w:top w:w="55" w:type="dxa"/>
              <w:left w:w="55" w:type="dxa"/>
              <w:bottom w:w="55" w:type="dxa"/>
              <w:right w:w="55" w:type="dxa"/>
            </w:tcMar>
          </w:tcPr>
          <w:p w:rsidR="003F738B" w:rsidRDefault="003B1AEA">
            <w:pPr>
              <w:pStyle w:val="Standard"/>
              <w:spacing w:after="57"/>
              <w:ind w:left="-49" w:right="567"/>
              <w:jc w:val="center"/>
              <w:rPr>
                <w:b/>
                <w:bCs/>
                <w:sz w:val="24"/>
                <w:szCs w:val="24"/>
              </w:rPr>
            </w:pPr>
            <w:r>
              <w:rPr>
                <w:b/>
                <w:bCs/>
                <w:sz w:val="24"/>
                <w:szCs w:val="24"/>
              </w:rPr>
              <w:t>Haute-Loire</w:t>
            </w:r>
          </w:p>
        </w:tc>
        <w:tc>
          <w:tcPr>
            <w:tcW w:w="5934" w:type="dxa"/>
            <w:tcBorders>
              <w:top w:val="nil"/>
              <w:left w:val="nil"/>
              <w:bottom w:val="nil"/>
              <w:right w:val="nil"/>
              <w:tl2br w:val="nil"/>
              <w:tr2bl w:val="nil"/>
            </w:tcBorders>
            <w:tcMar>
              <w:top w:w="55" w:type="dxa"/>
              <w:left w:w="55" w:type="dxa"/>
              <w:bottom w:w="55" w:type="dxa"/>
              <w:right w:w="55" w:type="dxa"/>
            </w:tcMar>
          </w:tcPr>
          <w:p w:rsidR="003F738B" w:rsidRDefault="003B1AEA">
            <w:pPr>
              <w:pStyle w:val="Standard"/>
              <w:spacing w:after="57"/>
              <w:ind w:left="-49" w:right="567"/>
              <w:jc w:val="center"/>
              <w:rPr>
                <w:b/>
                <w:bCs/>
                <w:sz w:val="24"/>
                <w:szCs w:val="24"/>
              </w:rPr>
            </w:pPr>
            <w:r>
              <w:rPr>
                <w:b/>
                <w:bCs/>
                <w:sz w:val="24"/>
                <w:szCs w:val="24"/>
              </w:rPr>
              <w:t>Haute-Loire et nord-ouest de l'Ardèche</w:t>
            </w:r>
          </w:p>
        </w:tc>
      </w:tr>
      <w:tr w:rsidR="003F738B">
        <w:trPr>
          <w:trHeight w:val="6"/>
        </w:trPr>
        <w:tc>
          <w:tcPr>
            <w:tcW w:w="4761" w:type="dxa"/>
            <w:tcBorders>
              <w:top w:val="nil"/>
              <w:left w:val="nil"/>
              <w:bottom w:val="nil"/>
              <w:right w:val="nil"/>
              <w:tl2br w:val="nil"/>
              <w:tr2bl w:val="nil"/>
            </w:tcBorders>
            <w:tcMar>
              <w:top w:w="55" w:type="dxa"/>
              <w:left w:w="55" w:type="dxa"/>
              <w:bottom w:w="55" w:type="dxa"/>
              <w:right w:w="55" w:type="dxa"/>
            </w:tcMar>
          </w:tcPr>
          <w:p w:rsidR="003F738B" w:rsidRDefault="003B1AEA">
            <w:pPr>
              <w:pStyle w:val="Standard"/>
              <w:spacing w:after="57"/>
              <w:ind w:left="-49" w:right="567"/>
              <w:jc w:val="both"/>
              <w:rPr>
                <w:sz w:val="24"/>
                <w:szCs w:val="24"/>
              </w:rPr>
            </w:pPr>
            <w:r>
              <w:rPr>
                <w:noProof/>
                <w:lang w:eastAsia="fr-FR"/>
              </w:rPr>
              <w:lastRenderedPageBreak/>
              <w:drawing>
                <wp:inline distT="0" distB="0" distL="0" distR="0">
                  <wp:extent cx="3228340" cy="2456815"/>
                  <wp:effectExtent l="0" t="0" r="0" b="0"/>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
                          <pic:cNvPicPr>
                            <a:picLocks noChangeAspect="1"/>
                            <a:extLst>
                              <a:ext uri="smNativeData">
                                <sm:smNativeData xmlns:ve="http://schemas.openxmlformats.org/markup-compatibility/2006" xmlns="" xmlns:o="urn:schemas-microsoft-com:office:office" xmlns:v="urn:schemas-microsoft-com:vml" xmlns:w10="urn:schemas-microsoft-com:office:word" xmlns:w="http://schemas.openxmlformats.org/wordprocessingml/2006/main" xmlns:sm="smNativeData" val="SMDATA_16_pZEfW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WAAAAB6AAAAAAAAACAAAAAAAAAAAAAAAAAAAAAAAAAAAAAAAAAAAA3BMAAB0PAAAAAAAAAAAAAAAAAAA="/>
                              </a:ext>
                            </a:extLst>
                          </pic:cNvPicPr>
                        </pic:nvPicPr>
                        <pic:blipFill>
                          <a:blip r:embed="rId12" cstate="print"/>
                          <a:stretch>
                            <a:fillRect/>
                          </a:stretch>
                        </pic:blipFill>
                        <pic:spPr>
                          <a:xfrm>
                            <a:off x="0" y="0"/>
                            <a:ext cx="3228340" cy="2456815"/>
                          </a:xfrm>
                          <a:prstGeom prst="rect">
                            <a:avLst/>
                          </a:prstGeom>
                          <a:noFill/>
                          <a:ln w="12700">
                            <a:noFill/>
                          </a:ln>
                        </pic:spPr>
                      </pic:pic>
                    </a:graphicData>
                  </a:graphic>
                </wp:inline>
              </w:drawing>
            </w:r>
          </w:p>
          <w:p w:rsidR="003F738B" w:rsidRDefault="003F738B">
            <w:pPr>
              <w:pStyle w:val="Standard"/>
              <w:spacing w:after="57"/>
              <w:ind w:left="-49" w:right="567"/>
              <w:jc w:val="both"/>
              <w:rPr>
                <w:sz w:val="24"/>
                <w:szCs w:val="24"/>
              </w:rPr>
            </w:pPr>
          </w:p>
        </w:tc>
        <w:tc>
          <w:tcPr>
            <w:tcW w:w="5934" w:type="dxa"/>
            <w:tcBorders>
              <w:top w:val="nil"/>
              <w:left w:val="nil"/>
              <w:bottom w:val="nil"/>
              <w:right w:val="nil"/>
              <w:tl2br w:val="nil"/>
              <w:tr2bl w:val="nil"/>
            </w:tcBorders>
            <w:tcMar>
              <w:top w:w="55" w:type="dxa"/>
              <w:left w:w="55" w:type="dxa"/>
              <w:bottom w:w="55" w:type="dxa"/>
              <w:right w:w="55" w:type="dxa"/>
            </w:tcMar>
          </w:tcPr>
          <w:p w:rsidR="003F738B" w:rsidRDefault="003B1AEA">
            <w:pPr>
              <w:pStyle w:val="Standard"/>
              <w:spacing w:after="57"/>
              <w:ind w:left="-49" w:right="567"/>
              <w:jc w:val="both"/>
              <w:rPr>
                <w:sz w:val="24"/>
                <w:szCs w:val="24"/>
              </w:rPr>
            </w:pPr>
            <w:r>
              <w:rPr>
                <w:noProof/>
                <w:lang w:eastAsia="fr-FR"/>
              </w:rPr>
              <w:drawing>
                <wp:inline distT="0" distB="0" distL="0" distR="0">
                  <wp:extent cx="2708031" cy="2501510"/>
                  <wp:effectExtent l="0" t="0" r="0" b="0"/>
                  <wp:docPr id="5" name="Image1"/>
                  <wp:cNvGraphicFramePr/>
                  <a:graphic xmlns:a="http://schemas.openxmlformats.org/drawingml/2006/main">
                    <a:graphicData uri="http://schemas.openxmlformats.org/drawingml/2006/picture">
                      <pic:pic xmlns:pic="http://schemas.openxmlformats.org/drawingml/2006/picture">
                        <pic:nvPicPr>
                          <pic:cNvPr id="5" name="Image1"/>
                          <pic:cNvPicPr>
                            <a:extLst>
                              <a:ext uri="smNativeData">
                                <sm:smNativeData xmlns:ve="http://schemas.openxmlformats.org/markup-compatibility/2006" xmlns="" xmlns:o="urn:schemas-microsoft-com:office:office" xmlns:v="urn:schemas-microsoft-com:vml" xmlns:w10="urn:schemas-microsoft-com:office:word" xmlns:w="http://schemas.openxmlformats.org/wordprocessingml/2006/main" xmlns:sm="smNativeData" val="SMDATA_16_pZEfW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WAAAAB6AAAAAAAAADAAAAAAAAAAAAAAAAAAAAAAAAAAAAAAAAAAAA9BQAALMPAAAAAAAAAAAAAAAAAAA="/>
                              </a:ext>
                            </a:extLst>
                          </pic:cNvPicPr>
                        </pic:nvPicPr>
                        <pic:blipFill>
                          <a:blip r:embed="rId13" cstate="print"/>
                          <a:stretch>
                            <a:fillRect/>
                          </a:stretch>
                        </pic:blipFill>
                        <pic:spPr>
                          <a:xfrm>
                            <a:off x="0" y="0"/>
                            <a:ext cx="2709430" cy="2502802"/>
                          </a:xfrm>
                          <a:prstGeom prst="rect">
                            <a:avLst/>
                          </a:prstGeom>
                          <a:noFill/>
                          <a:ln w="12700">
                            <a:noFill/>
                          </a:ln>
                        </pic:spPr>
                      </pic:pic>
                    </a:graphicData>
                  </a:graphic>
                </wp:inline>
              </w:drawing>
            </w:r>
          </w:p>
        </w:tc>
      </w:tr>
      <w:tr w:rsidR="003F738B">
        <w:trPr>
          <w:cantSplit/>
        </w:trPr>
        <w:tc>
          <w:tcPr>
            <w:tcW w:w="4761" w:type="dxa"/>
            <w:tcBorders>
              <w:top w:val="nil"/>
              <w:left w:val="nil"/>
              <w:bottom w:val="nil"/>
              <w:right w:val="nil"/>
              <w:tl2br w:val="nil"/>
              <w:tr2bl w:val="nil"/>
            </w:tcBorders>
            <w:tcMar>
              <w:top w:w="55" w:type="dxa"/>
              <w:left w:w="55" w:type="dxa"/>
              <w:bottom w:w="55" w:type="dxa"/>
              <w:right w:w="55" w:type="dxa"/>
            </w:tcMar>
          </w:tcPr>
          <w:p w:rsidR="003F738B" w:rsidRDefault="003B1AEA">
            <w:pPr>
              <w:pStyle w:val="Standard"/>
              <w:spacing w:after="57"/>
              <w:ind w:left="-49" w:right="2"/>
              <w:jc w:val="center"/>
              <w:rPr>
                <w:sz w:val="18"/>
                <w:szCs w:val="18"/>
              </w:rPr>
            </w:pPr>
            <w:r>
              <w:rPr>
                <w:sz w:val="18"/>
                <w:szCs w:val="18"/>
              </w:rPr>
              <w:t>Projet d’Aménagement et de Développement Durable du Velay- PADD_ Arret SCOT Pays du Velay juin 2017</w:t>
            </w:r>
          </w:p>
          <w:p w:rsidR="003F738B" w:rsidRDefault="003B1AEA">
            <w:pPr>
              <w:pStyle w:val="Standard"/>
              <w:spacing w:after="57"/>
              <w:ind w:left="-49" w:right="2"/>
              <w:jc w:val="center"/>
              <w:rPr>
                <w:sz w:val="18"/>
                <w:szCs w:val="18"/>
              </w:rPr>
            </w:pPr>
            <w:r>
              <w:rPr>
                <w:sz w:val="18"/>
                <w:szCs w:val="18"/>
              </w:rPr>
              <w:t>page 19/27</w:t>
            </w:r>
          </w:p>
        </w:tc>
        <w:tc>
          <w:tcPr>
            <w:tcW w:w="5934" w:type="dxa"/>
            <w:tcBorders>
              <w:top w:val="nil"/>
              <w:left w:val="nil"/>
              <w:bottom w:val="nil"/>
              <w:right w:val="nil"/>
              <w:tl2br w:val="nil"/>
              <w:tr2bl w:val="nil"/>
            </w:tcBorders>
            <w:tcMar>
              <w:top w:w="55" w:type="dxa"/>
              <w:left w:w="55" w:type="dxa"/>
              <w:bottom w:w="55" w:type="dxa"/>
              <w:right w:w="55" w:type="dxa"/>
            </w:tcMar>
          </w:tcPr>
          <w:p w:rsidR="003F738B" w:rsidRDefault="003B1AEA">
            <w:pPr>
              <w:pStyle w:val="Standard"/>
              <w:spacing w:after="57"/>
              <w:ind w:left="-49" w:right="567"/>
              <w:jc w:val="center"/>
              <w:rPr>
                <w:sz w:val="18"/>
                <w:szCs w:val="18"/>
              </w:rPr>
            </w:pPr>
            <w:r>
              <w:rPr>
                <w:sz w:val="18"/>
                <w:szCs w:val="18"/>
              </w:rPr>
              <w:t>Extrait du schéma régional éolien Rhône-Alpes 2012</w:t>
            </w:r>
          </w:p>
          <w:p w:rsidR="003F738B" w:rsidRDefault="003B1AEA">
            <w:pPr>
              <w:pStyle w:val="Standard"/>
              <w:spacing w:after="57"/>
              <w:ind w:left="-49" w:right="567"/>
              <w:jc w:val="center"/>
              <w:rPr>
                <w:sz w:val="18"/>
                <w:szCs w:val="18"/>
              </w:rPr>
            </w:pPr>
            <w:r>
              <w:rPr>
                <w:sz w:val="18"/>
                <w:szCs w:val="18"/>
              </w:rPr>
              <w:t>pages 52 et 54</w:t>
            </w:r>
          </w:p>
          <w:p w:rsidR="003F738B" w:rsidRDefault="003B1AEA">
            <w:pPr>
              <w:pStyle w:val="Standard"/>
              <w:spacing w:after="57"/>
              <w:ind w:left="-49" w:right="567"/>
              <w:jc w:val="center"/>
              <w:rPr>
                <w:sz w:val="18"/>
                <w:szCs w:val="18"/>
              </w:rPr>
            </w:pPr>
            <w:r>
              <w:rPr>
                <w:sz w:val="18"/>
                <w:szCs w:val="18"/>
              </w:rPr>
              <w:t>Mise à distance du Mont Mézenc 10 km</w:t>
            </w:r>
          </w:p>
        </w:tc>
      </w:tr>
    </w:tbl>
    <w:p w:rsidR="003F738B" w:rsidRDefault="003F738B">
      <w:pPr>
        <w:pStyle w:val="Standard"/>
        <w:spacing w:after="57"/>
        <w:ind w:right="567"/>
        <w:jc w:val="both"/>
        <w:rPr>
          <w:sz w:val="24"/>
          <w:szCs w:val="24"/>
        </w:rPr>
      </w:pPr>
    </w:p>
    <w:p w:rsidR="003F738B" w:rsidRDefault="003B1AEA" w:rsidP="00CE5D10">
      <w:pPr>
        <w:pStyle w:val="Standard"/>
        <w:spacing w:after="57"/>
        <w:ind w:right="-142"/>
        <w:jc w:val="both"/>
        <w:rPr>
          <w:sz w:val="24"/>
          <w:szCs w:val="24"/>
        </w:rPr>
      </w:pPr>
      <w:r>
        <w:rPr>
          <w:sz w:val="24"/>
          <w:szCs w:val="24"/>
        </w:rPr>
        <w:t>Le SCOT du Velay justifie ses choix</w:t>
      </w:r>
      <w:r>
        <w:rPr>
          <w:rStyle w:val="Appelnotedebasdep1"/>
          <w:sz w:val="24"/>
          <w:szCs w:val="24"/>
        </w:rPr>
        <w:footnoteReference w:id="8"/>
      </w:r>
      <w:r>
        <w:rPr>
          <w:sz w:val="24"/>
          <w:szCs w:val="24"/>
        </w:rPr>
        <w:t xml:space="preserve"> et son évaluation environnementale en cohérence avec les enjeux </w:t>
      </w:r>
      <w:r w:rsidR="00CE5D10">
        <w:rPr>
          <w:sz w:val="24"/>
          <w:szCs w:val="24"/>
        </w:rPr>
        <w:t xml:space="preserve">écologiques et environnementaux </w:t>
      </w:r>
      <w:r>
        <w:rPr>
          <w:sz w:val="24"/>
          <w:szCs w:val="24"/>
        </w:rPr>
        <w:t>des SRCE Auvergne et Rhone-Alpes ; continuité agropastorale e</w:t>
      </w:r>
      <w:r w:rsidR="00CE5D10">
        <w:rPr>
          <w:sz w:val="24"/>
          <w:szCs w:val="24"/>
        </w:rPr>
        <w:t>t subalpine  bien préservée au sud et à l’e</w:t>
      </w:r>
      <w:r>
        <w:rPr>
          <w:sz w:val="24"/>
          <w:szCs w:val="24"/>
        </w:rPr>
        <w:t>st du territoire du Mézenc en liaison avec les hauteurs ardéchoises ; si le SCOT du Velay indique que plusieu</w:t>
      </w:r>
      <w:r w:rsidR="00CE5D10">
        <w:rPr>
          <w:sz w:val="24"/>
          <w:szCs w:val="24"/>
        </w:rPr>
        <w:t>rs types d’énergies renouvelables</w:t>
      </w:r>
      <w:r>
        <w:rPr>
          <w:sz w:val="24"/>
          <w:szCs w:val="24"/>
        </w:rPr>
        <w:t xml:space="preserve"> sont possibles sur son territoire : biogaz, énergie hydro-électrique, éolienne, il précise pour cette dernière</w:t>
      </w:r>
      <w:r>
        <w:rPr>
          <w:rStyle w:val="Appelnotedebasdep1"/>
          <w:sz w:val="24"/>
          <w:szCs w:val="24"/>
        </w:rPr>
        <w:footnoteReference w:id="9"/>
      </w:r>
      <w:r>
        <w:rPr>
          <w:sz w:val="24"/>
          <w:szCs w:val="24"/>
        </w:rPr>
        <w:t xml:space="preserve"> l’ambition de limiter les grands projets éoliens, de les concentrer sur certaines zones qui ne sont pas celles des hauts-plateaux du Mézenc. Le SCOT prévoit un scénario d’évolution du «mix» énergétique renouvelable du secteur résidentiel à l'horizon 2035 par rapport à 2012 avec quelques filières ; pour 3 d'entre elles, la prévision de production estimée est supérieure à 20 Gwh/an :</w:t>
      </w:r>
    </w:p>
    <w:p w:rsidR="003F738B" w:rsidRDefault="003B1AEA" w:rsidP="00CE5D10">
      <w:pPr>
        <w:pStyle w:val="Standard"/>
        <w:widowControl w:val="0"/>
        <w:numPr>
          <w:ilvl w:val="0"/>
          <w:numId w:val="11"/>
        </w:numPr>
        <w:tabs>
          <w:tab w:val="clear" w:pos="708"/>
        </w:tabs>
        <w:spacing w:after="57" w:line="240" w:lineRule="auto"/>
        <w:ind w:left="720" w:right="-142" w:hanging="360"/>
        <w:jc w:val="both"/>
        <w:rPr>
          <w:sz w:val="24"/>
          <w:szCs w:val="24"/>
        </w:rPr>
      </w:pPr>
      <w:r>
        <w:rPr>
          <w:sz w:val="24"/>
          <w:szCs w:val="24"/>
        </w:rPr>
        <w:t>le bois énergie : ≈ 82 GWh/an,</w:t>
      </w:r>
    </w:p>
    <w:p w:rsidR="003F738B" w:rsidRDefault="003B1AEA" w:rsidP="00CE5D10">
      <w:pPr>
        <w:pStyle w:val="Standard"/>
        <w:widowControl w:val="0"/>
        <w:numPr>
          <w:ilvl w:val="0"/>
          <w:numId w:val="11"/>
        </w:numPr>
        <w:tabs>
          <w:tab w:val="clear" w:pos="708"/>
        </w:tabs>
        <w:spacing w:after="57" w:line="240" w:lineRule="auto"/>
        <w:ind w:left="720" w:right="-142" w:hanging="360"/>
        <w:jc w:val="both"/>
        <w:rPr>
          <w:sz w:val="24"/>
          <w:szCs w:val="24"/>
        </w:rPr>
      </w:pPr>
      <w:r>
        <w:rPr>
          <w:sz w:val="24"/>
          <w:szCs w:val="24"/>
        </w:rPr>
        <w:t>la géothermie : ≈ 37 GWh/an,</w:t>
      </w:r>
    </w:p>
    <w:p w:rsidR="003F738B" w:rsidRDefault="00DB3F71" w:rsidP="00CE5D10">
      <w:pPr>
        <w:pStyle w:val="Standard"/>
        <w:widowControl w:val="0"/>
        <w:numPr>
          <w:ilvl w:val="0"/>
          <w:numId w:val="11"/>
        </w:numPr>
        <w:tabs>
          <w:tab w:val="clear" w:pos="708"/>
        </w:tabs>
        <w:spacing w:line="240" w:lineRule="auto"/>
        <w:ind w:left="714" w:right="-142" w:hanging="357"/>
        <w:jc w:val="both"/>
        <w:rPr>
          <w:sz w:val="24"/>
          <w:szCs w:val="24"/>
        </w:rPr>
      </w:pPr>
      <w:r>
        <w:rPr>
          <w:sz w:val="24"/>
          <w:szCs w:val="24"/>
        </w:rPr>
        <w:t>le solaire photovoltaï</w:t>
      </w:r>
      <w:r w:rsidR="003B1AEA">
        <w:rPr>
          <w:sz w:val="24"/>
          <w:szCs w:val="24"/>
        </w:rPr>
        <w:t>que: ≈ 26 GWh/an. Sur cette dernière filière, l'APPEM éme</w:t>
      </w:r>
      <w:r>
        <w:rPr>
          <w:sz w:val="24"/>
          <w:szCs w:val="24"/>
        </w:rPr>
        <w:t>t des réserves, et ce, indépenda</w:t>
      </w:r>
      <w:r w:rsidR="003B1AEA">
        <w:rPr>
          <w:sz w:val="24"/>
          <w:szCs w:val="24"/>
        </w:rPr>
        <w:t>mment des problèmes de recyclage non résolus ; ses réserve</w:t>
      </w:r>
      <w:r>
        <w:rPr>
          <w:sz w:val="24"/>
          <w:szCs w:val="24"/>
        </w:rPr>
        <w:t xml:space="preserve">s sont fondées sur les raisons </w:t>
      </w:r>
      <w:r w:rsidR="003B1AEA">
        <w:rPr>
          <w:sz w:val="24"/>
          <w:szCs w:val="24"/>
        </w:rPr>
        <w:t>liées à l'esthétique des paysages : posés sur des hangars de stockage de grande hauteur créés souvent de toutes pièces pour la seule fin de produire de l'électricité, les installatio</w:t>
      </w:r>
      <w:r>
        <w:rPr>
          <w:sz w:val="24"/>
          <w:szCs w:val="24"/>
        </w:rPr>
        <w:t>ns de panneaux photovoltaï</w:t>
      </w:r>
      <w:r w:rsidR="003B1AEA">
        <w:rPr>
          <w:sz w:val="24"/>
          <w:szCs w:val="24"/>
        </w:rPr>
        <w:t>ques sont le plus souvent réalisées sans intégration paysagère ; s'ils sont posés au sol, ce sont de forts consommateurs d'espaces naturels et un risque pour la préservation de la biodiversité.</w:t>
      </w:r>
    </w:p>
    <w:p w:rsidR="003F738B" w:rsidRDefault="003F738B">
      <w:pPr>
        <w:pStyle w:val="Standard"/>
        <w:spacing w:after="57"/>
        <w:ind w:right="567"/>
        <w:jc w:val="both"/>
        <w:rPr>
          <w:sz w:val="24"/>
          <w:szCs w:val="24"/>
        </w:rPr>
      </w:pPr>
    </w:p>
    <w:p w:rsidR="003F738B" w:rsidRDefault="003B1AEA" w:rsidP="00CE5D10">
      <w:pPr>
        <w:pStyle w:val="Standard"/>
        <w:tabs>
          <w:tab w:val="left" w:pos="9639"/>
        </w:tabs>
        <w:spacing w:after="57"/>
        <w:jc w:val="both"/>
        <w:rPr>
          <w:sz w:val="24"/>
          <w:szCs w:val="24"/>
        </w:rPr>
      </w:pPr>
      <w:r>
        <w:rPr>
          <w:sz w:val="24"/>
          <w:szCs w:val="24"/>
        </w:rPr>
        <w:t>Le scénario des tendances établi lors de l'élaboration du SCOT du Velay a justifié des choix de développement durable pour le Velay que nous partageons pleinement :</w:t>
      </w:r>
    </w:p>
    <w:p w:rsidR="003F738B" w:rsidRDefault="003B1AEA" w:rsidP="00CE5D10">
      <w:pPr>
        <w:pStyle w:val="Standard"/>
        <w:widowControl w:val="0"/>
        <w:numPr>
          <w:ilvl w:val="0"/>
          <w:numId w:val="7"/>
        </w:numPr>
        <w:tabs>
          <w:tab w:val="clear" w:pos="708"/>
        </w:tabs>
        <w:spacing w:after="57" w:line="240" w:lineRule="auto"/>
        <w:ind w:left="720" w:hanging="360"/>
        <w:jc w:val="both"/>
        <w:rPr>
          <w:sz w:val="24"/>
          <w:szCs w:val="24"/>
        </w:rPr>
      </w:pPr>
      <w:r>
        <w:rPr>
          <w:sz w:val="24"/>
          <w:szCs w:val="24"/>
        </w:rPr>
        <w:t>maintien de la continuité forestière dans notre région naturelle, où se pose la question du renouvellement des boisements arrivant à maturité, pour tenir compte de l’évolution du climat</w:t>
      </w:r>
    </w:p>
    <w:p w:rsidR="003F738B" w:rsidRDefault="003B1AEA" w:rsidP="00CE5D10">
      <w:pPr>
        <w:pStyle w:val="Standard"/>
        <w:widowControl w:val="0"/>
        <w:numPr>
          <w:ilvl w:val="0"/>
          <w:numId w:val="7"/>
        </w:numPr>
        <w:tabs>
          <w:tab w:val="clear" w:pos="708"/>
          <w:tab w:val="left" w:pos="9639"/>
        </w:tabs>
        <w:spacing w:after="57" w:line="240" w:lineRule="auto"/>
        <w:ind w:left="720" w:hanging="360"/>
        <w:jc w:val="both"/>
        <w:rPr>
          <w:sz w:val="24"/>
          <w:szCs w:val="24"/>
        </w:rPr>
      </w:pPr>
      <w:r>
        <w:rPr>
          <w:sz w:val="24"/>
          <w:szCs w:val="24"/>
        </w:rPr>
        <w:t xml:space="preserve">Lutte contre la consommation d’espaces naturels et la pollution lumineuse pénalisante pour </w:t>
      </w:r>
      <w:r>
        <w:rPr>
          <w:sz w:val="24"/>
          <w:szCs w:val="24"/>
        </w:rPr>
        <w:lastRenderedPageBreak/>
        <w:t>des espèces animales à protéger</w:t>
      </w:r>
    </w:p>
    <w:p w:rsidR="003F738B" w:rsidRDefault="003B1AEA" w:rsidP="00D62A08">
      <w:pPr>
        <w:pStyle w:val="Standard"/>
        <w:widowControl w:val="0"/>
        <w:numPr>
          <w:ilvl w:val="0"/>
          <w:numId w:val="7"/>
        </w:numPr>
        <w:tabs>
          <w:tab w:val="clear" w:pos="708"/>
          <w:tab w:val="left" w:pos="9639"/>
        </w:tabs>
        <w:spacing w:line="240" w:lineRule="auto"/>
        <w:ind w:left="714" w:hanging="357"/>
        <w:jc w:val="both"/>
        <w:rPr>
          <w:sz w:val="24"/>
          <w:szCs w:val="24"/>
        </w:rPr>
      </w:pPr>
      <w:r>
        <w:rPr>
          <w:sz w:val="24"/>
          <w:szCs w:val="24"/>
        </w:rPr>
        <w:t>alerte sur le risque de création des zones d'activités nécessitant des superficies foncières importantes qui ne sont par ailleurs pas toujours pleinement utilisées, perte effective de milieux naturels, agricoles et forestiers.</w:t>
      </w:r>
    </w:p>
    <w:p w:rsidR="003F738B" w:rsidRDefault="003F738B" w:rsidP="00CE5D10">
      <w:pPr>
        <w:pStyle w:val="Standard"/>
        <w:tabs>
          <w:tab w:val="left" w:pos="9639"/>
        </w:tabs>
        <w:spacing w:after="57"/>
        <w:jc w:val="both"/>
        <w:rPr>
          <w:sz w:val="24"/>
          <w:szCs w:val="24"/>
        </w:rPr>
      </w:pPr>
    </w:p>
    <w:p w:rsidR="003F738B" w:rsidRDefault="003B1AEA" w:rsidP="00D62A08">
      <w:pPr>
        <w:pStyle w:val="Standard"/>
        <w:tabs>
          <w:tab w:val="left" w:pos="9639"/>
        </w:tabs>
        <w:jc w:val="both"/>
        <w:rPr>
          <w:sz w:val="24"/>
          <w:szCs w:val="24"/>
        </w:rPr>
      </w:pPr>
      <w:r>
        <w:rPr>
          <w:sz w:val="24"/>
          <w:szCs w:val="24"/>
        </w:rPr>
        <w:t>La préservation des paysages et la remise en bon état des continuités écologiques constituent un des volets d’une stratégie d’adaptation au changement climatique. La survie des espèces faunistiques dépend  de leur capacité à se déplacer sur le territoire afin qu’elles puissent retrouver des conditions favorables leur permettant d’assurer l’ensemble de leur cycle de vie. Les milieux naturels, agropastoraux, forestiers, les zones humides, tous supports de continuités écologiques sont autant de milieux qui constituent des «puits de carbone ». Aussi, la pr</w:t>
      </w:r>
      <w:r w:rsidR="00D62A08">
        <w:rPr>
          <w:sz w:val="24"/>
          <w:szCs w:val="24"/>
        </w:rPr>
        <w:t>éservation des milieux naturels et</w:t>
      </w:r>
      <w:r>
        <w:rPr>
          <w:sz w:val="24"/>
          <w:szCs w:val="24"/>
        </w:rPr>
        <w:t xml:space="preserve"> des continuités écologiques des hauts-plateaux du Mézenc-Gerbier est en synergie avec « l'AMBITION 2030 » affiché</w:t>
      </w:r>
      <w:r w:rsidR="00D62A08">
        <w:rPr>
          <w:sz w:val="24"/>
          <w:szCs w:val="24"/>
        </w:rPr>
        <w:t>e</w:t>
      </w:r>
      <w:r>
        <w:rPr>
          <w:sz w:val="24"/>
          <w:szCs w:val="24"/>
        </w:rPr>
        <w:t xml:space="preserve"> pour notre région en matière de réduction des émissions de gaz à effet de serre à l’origine du changement climatique.</w:t>
      </w:r>
    </w:p>
    <w:p w:rsidR="003F738B" w:rsidRDefault="003F738B" w:rsidP="00CE5D10">
      <w:pPr>
        <w:pStyle w:val="Standard"/>
        <w:tabs>
          <w:tab w:val="left" w:pos="9639"/>
        </w:tabs>
        <w:spacing w:after="57"/>
        <w:ind w:right="567"/>
        <w:jc w:val="both"/>
        <w:rPr>
          <w:sz w:val="24"/>
          <w:szCs w:val="24"/>
        </w:rPr>
      </w:pPr>
    </w:p>
    <w:p w:rsidR="003F738B" w:rsidRDefault="003B1AEA" w:rsidP="00CE5D10">
      <w:pPr>
        <w:pStyle w:val="Standard"/>
        <w:spacing w:after="57"/>
        <w:jc w:val="both"/>
        <w:rPr>
          <w:sz w:val="24"/>
          <w:szCs w:val="24"/>
        </w:rPr>
      </w:pPr>
      <w:r>
        <w:rPr>
          <w:sz w:val="24"/>
          <w:szCs w:val="24"/>
        </w:rPr>
        <w:t xml:space="preserve">Pour prévenir le risque de détérioration des paysages, l'APPEM plaide pour un gestion économe de l'espace qui limite l'emprise des constructions sur les terres agricoles, naturelles et forestières ;  elle souligne que la loi Montagne précise que l'urbanisation doit être réalisée en continuité avec les bourgs, villages, hameaux, groupes de constructions traditionnelles ou d’habitations existants (L122-5 du Code de l’urbanisme, modifié par la loi Montagne du 28 décembre 2016) . Elle reprend à son compte la déclaration de la ministre du logement, de l’égalité des territoires et de la ruralité dans son exposé des motifs de la loi du 24 mars 2014 : «les zones naturelles et agricoles doivent rester, par principe, des zones inconstructibles». Soulignons si nécessaire que la filière bois bien présente sur le territoire est pourvoyeuse </w:t>
      </w:r>
      <w:r>
        <w:rPr>
          <w:b/>
          <w:sz w:val="24"/>
          <w:szCs w:val="24"/>
        </w:rPr>
        <w:t>d’emplois non délocalisables</w:t>
      </w:r>
      <w:r>
        <w:rPr>
          <w:sz w:val="24"/>
          <w:szCs w:val="24"/>
        </w:rPr>
        <w:t xml:space="preserve">. </w:t>
      </w:r>
    </w:p>
    <w:p w:rsidR="003F738B" w:rsidRDefault="003F738B">
      <w:pPr>
        <w:pStyle w:val="Standard"/>
        <w:spacing w:after="57"/>
        <w:ind w:right="567"/>
        <w:jc w:val="both"/>
        <w:rPr>
          <w:sz w:val="24"/>
          <w:szCs w:val="24"/>
        </w:rPr>
      </w:pPr>
    </w:p>
    <w:p w:rsidR="003F738B" w:rsidRDefault="003B1AEA">
      <w:pPr>
        <w:pStyle w:val="Corpsdetexte3"/>
        <w:ind w:right="567"/>
        <w:jc w:val="both"/>
        <w:rPr>
          <w:rFonts w:ascii="Calibri" w:eastAsia="Calibri" w:hAnsi="Calibri" w:cs="Calibri"/>
          <w:b/>
          <w:bCs/>
          <w:sz w:val="24"/>
          <w:szCs w:val="24"/>
        </w:rPr>
      </w:pPr>
      <w:r>
        <w:rPr>
          <w:rFonts w:ascii="Calibri" w:eastAsia="Calibri" w:hAnsi="Calibri" w:cs="Calibri"/>
          <w:b/>
          <w:bCs/>
          <w:sz w:val="24"/>
          <w:szCs w:val="24"/>
        </w:rPr>
        <w:t>II-3 Protection de la biodiversité</w:t>
      </w:r>
    </w:p>
    <w:p w:rsidR="003F738B" w:rsidRDefault="003B1AEA" w:rsidP="00D62A08">
      <w:pPr>
        <w:pStyle w:val="Corpsdetexte3"/>
        <w:jc w:val="both"/>
        <w:rPr>
          <w:rFonts w:ascii="Calibri" w:eastAsia="Calibri" w:hAnsi="Calibri" w:cs="Calibri"/>
          <w:bCs/>
          <w:sz w:val="24"/>
          <w:szCs w:val="24"/>
        </w:rPr>
      </w:pPr>
      <w:r>
        <w:rPr>
          <w:rFonts w:ascii="Calibri" w:eastAsia="Calibri" w:hAnsi="Calibri" w:cs="Calibri"/>
          <w:bCs/>
          <w:sz w:val="24"/>
          <w:szCs w:val="24"/>
        </w:rPr>
        <w:t>La biodiversité des massifs de Haute-Loire serait particulièrement touchée par l’implantation d’éoliennes :</w:t>
      </w:r>
    </w:p>
    <w:p w:rsidR="003F738B" w:rsidRDefault="003B1AEA" w:rsidP="00D62A08">
      <w:pPr>
        <w:pStyle w:val="Corpsdetexte3"/>
        <w:numPr>
          <w:ilvl w:val="0"/>
          <w:numId w:val="1"/>
        </w:numPr>
        <w:ind w:left="1068" w:hanging="360"/>
        <w:jc w:val="both"/>
        <w:rPr>
          <w:rFonts w:ascii="Calibri" w:eastAsia="Calibri" w:hAnsi="Calibri" w:cs="Calibri"/>
          <w:bCs/>
          <w:sz w:val="24"/>
          <w:szCs w:val="24"/>
        </w:rPr>
      </w:pPr>
      <w:r>
        <w:rPr>
          <w:rFonts w:ascii="Calibri" w:eastAsia="Calibri" w:hAnsi="Calibri" w:cs="Calibri"/>
          <w:bCs/>
          <w:sz w:val="24"/>
          <w:szCs w:val="24"/>
        </w:rPr>
        <w:t>collision directe</w:t>
      </w:r>
    </w:p>
    <w:p w:rsidR="003F738B" w:rsidRDefault="003B1AEA" w:rsidP="00D62A08">
      <w:pPr>
        <w:pStyle w:val="Corpsdetexte3"/>
        <w:numPr>
          <w:ilvl w:val="0"/>
          <w:numId w:val="1"/>
        </w:numPr>
        <w:ind w:left="1068" w:hanging="360"/>
        <w:jc w:val="both"/>
        <w:rPr>
          <w:rFonts w:ascii="Calibri" w:eastAsia="Calibri" w:hAnsi="Calibri" w:cs="Calibri"/>
          <w:bCs/>
          <w:sz w:val="24"/>
          <w:szCs w:val="24"/>
        </w:rPr>
      </w:pPr>
      <w:r>
        <w:rPr>
          <w:rFonts w:ascii="Calibri" w:eastAsia="Calibri" w:hAnsi="Calibri" w:cs="Calibri"/>
          <w:bCs/>
          <w:sz w:val="24"/>
          <w:szCs w:val="24"/>
        </w:rPr>
        <w:t xml:space="preserve">effet barotraumatisme (différence de pression aux alentours des éoliennes) sur les chauves-souris </w:t>
      </w:r>
    </w:p>
    <w:p w:rsidR="003F738B" w:rsidRDefault="003B1AEA" w:rsidP="00D62A08">
      <w:pPr>
        <w:pStyle w:val="Corpsdetexte3"/>
        <w:numPr>
          <w:ilvl w:val="0"/>
          <w:numId w:val="1"/>
        </w:numPr>
        <w:ind w:left="1068" w:hanging="360"/>
        <w:jc w:val="both"/>
        <w:rPr>
          <w:rFonts w:ascii="Calibri" w:eastAsia="Calibri" w:hAnsi="Calibri" w:cs="Calibri"/>
          <w:bCs/>
          <w:sz w:val="24"/>
          <w:szCs w:val="24"/>
        </w:rPr>
      </w:pPr>
      <w:r>
        <w:rPr>
          <w:rFonts w:ascii="Calibri" w:eastAsia="Calibri" w:hAnsi="Calibri" w:cs="Calibri"/>
          <w:bCs/>
          <w:sz w:val="24"/>
          <w:szCs w:val="24"/>
        </w:rPr>
        <w:t xml:space="preserve">effet stroboscopique et flashs lumineux perturbant les espèces d’animaux nocturnes </w:t>
      </w:r>
    </w:p>
    <w:p w:rsidR="003F738B" w:rsidRDefault="003F738B" w:rsidP="00D62A08">
      <w:pPr>
        <w:pStyle w:val="Corpsdetexte3"/>
        <w:jc w:val="both"/>
        <w:rPr>
          <w:rFonts w:ascii="Calibri" w:eastAsia="Calibri" w:hAnsi="Calibri" w:cs="Calibri"/>
          <w:bCs/>
          <w:sz w:val="24"/>
          <w:szCs w:val="24"/>
        </w:rPr>
      </w:pPr>
    </w:p>
    <w:p w:rsidR="003F738B" w:rsidRDefault="003B1AEA" w:rsidP="00D62A08">
      <w:pPr>
        <w:pStyle w:val="Corpsdetexte3"/>
        <w:jc w:val="both"/>
        <w:rPr>
          <w:rFonts w:ascii="Calibri" w:eastAsia="Calibri" w:hAnsi="Calibri" w:cs="Calibri"/>
          <w:bCs/>
          <w:sz w:val="24"/>
          <w:szCs w:val="24"/>
        </w:rPr>
      </w:pPr>
      <w:r>
        <w:rPr>
          <w:rFonts w:ascii="Calibri" w:eastAsia="Calibri" w:hAnsi="Calibri" w:cs="Calibri"/>
          <w:bCs/>
          <w:sz w:val="24"/>
          <w:szCs w:val="24"/>
        </w:rPr>
        <w:t>L’ensemble Mézenc/Meygal/Gerbier est riche d’une multitude de zones classées ZINIEF 1 et 2 et compte de nombreuses espèces classées.</w:t>
      </w:r>
    </w:p>
    <w:p w:rsidR="003F738B" w:rsidRDefault="003B1AEA" w:rsidP="00D62A08">
      <w:pPr>
        <w:pStyle w:val="Corpsdetexte3"/>
        <w:jc w:val="both"/>
        <w:rPr>
          <w:rFonts w:ascii="Calibri" w:eastAsia="Calibri" w:hAnsi="Calibri" w:cs="Calibri"/>
          <w:sz w:val="24"/>
          <w:szCs w:val="24"/>
        </w:rPr>
      </w:pPr>
      <w:r>
        <w:rPr>
          <w:rFonts w:ascii="Calibri" w:eastAsia="Calibri" w:hAnsi="Calibri" w:cs="Calibri"/>
          <w:sz w:val="24"/>
          <w:szCs w:val="24"/>
        </w:rPr>
        <w:t>Plusieurs rapaces sont cités comme utilisant le secteur comme territoire de chasse : Grand-Duc d’Europe (statut patrimonial moyen), Circaète Jean le Blanc (statut patrimonial moyen), Milan royal, Busard cendré et Aigle royal (statut patrimonial fort). Des vanneaux huppés (statut patrimonial moyen), du tarier des prés (statut patrimonial fort, espèce en nette régression au niveau national et européen) et du pipit farlouse</w:t>
      </w:r>
    </w:p>
    <w:p w:rsidR="003F738B" w:rsidRDefault="003B1AEA" w:rsidP="00D62A08">
      <w:pPr>
        <w:pStyle w:val="Corpsdetexte3"/>
        <w:jc w:val="both"/>
        <w:rPr>
          <w:rFonts w:ascii="Calibri" w:eastAsia="Calibri" w:hAnsi="Calibri" w:cs="Calibri"/>
          <w:sz w:val="24"/>
          <w:szCs w:val="24"/>
        </w:rPr>
      </w:pPr>
      <w:r>
        <w:rPr>
          <w:rFonts w:ascii="Calibri" w:eastAsia="Calibri" w:hAnsi="Calibri" w:cs="Calibri"/>
          <w:sz w:val="24"/>
          <w:szCs w:val="24"/>
        </w:rPr>
        <w:t xml:space="preserve">La LPO, ligue pour la protection des oiseaux témoigne de la présence de vautours, et   le Parc naturel </w:t>
      </w:r>
      <w:r w:rsidR="00B96271">
        <w:rPr>
          <w:rFonts w:ascii="Calibri" w:eastAsia="Calibri" w:hAnsi="Calibri" w:cs="Calibri"/>
          <w:sz w:val="24"/>
          <w:szCs w:val="24"/>
        </w:rPr>
        <w:t xml:space="preserve">régional </w:t>
      </w:r>
      <w:r>
        <w:rPr>
          <w:rFonts w:ascii="Calibri" w:eastAsia="Calibri" w:hAnsi="Calibri" w:cs="Calibri"/>
          <w:sz w:val="24"/>
          <w:szCs w:val="24"/>
        </w:rPr>
        <w:t xml:space="preserve">des Monts d’Ardèche qui  accompagne l’installation naturelle de l’espèce pour une cohabitation raisonnée avec l’élevage et attend des retombées tant au regard de l’attractivité pour </w:t>
      </w:r>
      <w:r>
        <w:rPr>
          <w:rFonts w:ascii="Calibri" w:eastAsia="Calibri" w:hAnsi="Calibri" w:cs="Calibri"/>
          <w:sz w:val="24"/>
          <w:szCs w:val="24"/>
        </w:rPr>
        <w:lastRenderedPageBreak/>
        <w:t>l’espèce que pour l’éco-tourisme.</w:t>
      </w:r>
    </w:p>
    <w:p w:rsidR="003F738B" w:rsidRDefault="003B1AEA" w:rsidP="00D62A08">
      <w:pPr>
        <w:pStyle w:val="Corpsdetexte3"/>
        <w:jc w:val="both"/>
        <w:rPr>
          <w:rFonts w:ascii="Calibri" w:eastAsia="Calibri" w:hAnsi="Calibri" w:cs="Calibri"/>
          <w:bCs/>
          <w:sz w:val="24"/>
          <w:szCs w:val="24"/>
        </w:rPr>
      </w:pPr>
      <w:r>
        <w:rPr>
          <w:rFonts w:ascii="Calibri" w:eastAsia="Calibri" w:hAnsi="Calibri" w:cs="Calibri"/>
          <w:bCs/>
          <w:sz w:val="24"/>
          <w:szCs w:val="24"/>
        </w:rPr>
        <w:t>En France, 34 espèces de chauves-souris sont protégées depuis 1976 par l'article L.411-1 du Code de l'environnement, l'arrêté ministériel du 23 avril 2007, ainsi que son arrêté modificatif du 15 septembre 2012, Ces textes protègent les espèces ainsi que leur habitat de reproduction. Un tiers des espèces sont considérées comme menacées par le Comité Français de l’Union Internationale pour la conservation de la Nature (UICN). Entre 2006 et 2014 pour les espèces communes, Pipistrelle et Sérotine, une baisse de population de l’ordre de 50 % est estimée. L’article 2 de l’arrêté du 23 avril 2007 dispose que la destruction, la perturbation intentionnelle des animaux et l’aliénation des sites de reproduction et des aires de repos sont interdites</w:t>
      </w:r>
    </w:p>
    <w:p w:rsidR="003F738B" w:rsidRDefault="003B1AEA" w:rsidP="00D62A08">
      <w:pPr>
        <w:pStyle w:val="Corpsdetexte3"/>
        <w:jc w:val="both"/>
        <w:rPr>
          <w:rFonts w:ascii="Calibri" w:eastAsia="Calibri" w:hAnsi="Calibri" w:cs="Calibri"/>
          <w:sz w:val="24"/>
          <w:szCs w:val="24"/>
        </w:rPr>
      </w:pPr>
      <w:r>
        <w:rPr>
          <w:rFonts w:ascii="Calibri" w:eastAsia="Calibri" w:hAnsi="Calibri" w:cs="Calibri"/>
          <w:sz w:val="24"/>
          <w:szCs w:val="24"/>
        </w:rPr>
        <w:t>De plus, l’«effet barrière» créé par les mâts éoliens pour les oiseaux migrateurs postnuptiaux, la pollution lumineuse contribue</w:t>
      </w:r>
      <w:r w:rsidR="00D7441B">
        <w:rPr>
          <w:rFonts w:ascii="Calibri" w:eastAsia="Calibri" w:hAnsi="Calibri" w:cs="Calibri"/>
          <w:sz w:val="24"/>
          <w:szCs w:val="24"/>
        </w:rPr>
        <w:t>nt à</w:t>
      </w:r>
      <w:r>
        <w:rPr>
          <w:rFonts w:ascii="Calibri" w:eastAsia="Calibri" w:hAnsi="Calibri" w:cs="Calibri"/>
          <w:sz w:val="24"/>
          <w:szCs w:val="24"/>
        </w:rPr>
        <w:t xml:space="preserve"> leur destruction ; les rapaces nocturnes, animaux lucifuges et mammifères chasseurs de nuit figurent aussi parmi les premières victimes de la pollution lumineuse</w:t>
      </w:r>
    </w:p>
    <w:p w:rsidR="003F738B" w:rsidRDefault="003F738B" w:rsidP="00D62A08">
      <w:pPr>
        <w:pStyle w:val="Corpsdetexte3"/>
        <w:jc w:val="both"/>
        <w:rPr>
          <w:rFonts w:ascii="Calibri" w:eastAsia="Calibri" w:hAnsi="Calibri" w:cs="Calibri"/>
          <w:bCs/>
          <w:sz w:val="24"/>
          <w:szCs w:val="24"/>
        </w:rPr>
      </w:pPr>
    </w:p>
    <w:p w:rsidR="003F738B" w:rsidRDefault="003B1AEA" w:rsidP="00D62A08">
      <w:pPr>
        <w:pStyle w:val="Corpsdetexte3"/>
        <w:jc w:val="both"/>
        <w:rPr>
          <w:rFonts w:ascii="Calibri" w:eastAsia="Calibri" w:hAnsi="Calibri" w:cs="Calibri"/>
          <w:b/>
          <w:color w:val="000000"/>
          <w:sz w:val="24"/>
          <w:szCs w:val="24"/>
          <w:lang w:bidi="ar-SA"/>
        </w:rPr>
      </w:pPr>
      <w:r>
        <w:rPr>
          <w:rFonts w:ascii="Calibri" w:eastAsia="Calibri" w:hAnsi="Calibri" w:cs="Calibri"/>
          <w:b/>
          <w:color w:val="000000"/>
          <w:sz w:val="24"/>
          <w:szCs w:val="24"/>
          <w:lang w:bidi="ar-SA"/>
        </w:rPr>
        <w:t>II-4 Protection de l’eau</w:t>
      </w:r>
    </w:p>
    <w:p w:rsidR="003F738B" w:rsidRDefault="003B1AEA" w:rsidP="00D62A08">
      <w:pPr>
        <w:pStyle w:val="Corpsdetexte3"/>
        <w:jc w:val="both"/>
        <w:rPr>
          <w:rFonts w:ascii="Calibri" w:eastAsia="Calibri" w:hAnsi="Calibri" w:cs="Calibri"/>
          <w:bCs/>
          <w:sz w:val="24"/>
          <w:szCs w:val="24"/>
        </w:rPr>
      </w:pPr>
      <w:r>
        <w:rPr>
          <w:rFonts w:ascii="Calibri" w:eastAsia="Calibri" w:hAnsi="Calibri" w:cs="Calibri"/>
          <w:sz w:val="24"/>
          <w:szCs w:val="24"/>
        </w:rPr>
        <w:t xml:space="preserve">Les professionnels de l’hydrogéologie en domaine volcanique confirment que les ressources en eau des formations volcaniques sont </w:t>
      </w:r>
      <w:r>
        <w:rPr>
          <w:rFonts w:ascii="Calibri" w:eastAsia="Calibri" w:hAnsi="Calibri" w:cs="Calibri"/>
          <w:b/>
          <w:bCs/>
          <w:sz w:val="24"/>
          <w:szCs w:val="24"/>
        </w:rPr>
        <w:t>très vulnérables</w:t>
      </w:r>
      <w:r>
        <w:rPr>
          <w:rFonts w:ascii="Calibri" w:eastAsia="Calibri" w:hAnsi="Calibri" w:cs="Calibri"/>
          <w:sz w:val="24"/>
          <w:szCs w:val="24"/>
        </w:rPr>
        <w:t>, du fait de la porosité intrinsèque de ces formations</w:t>
      </w:r>
      <w:r w:rsidR="00D62A08">
        <w:rPr>
          <w:rFonts w:ascii="Calibri" w:eastAsia="Calibri" w:hAnsi="Calibri" w:cs="Calibri"/>
          <w:sz w:val="24"/>
          <w:szCs w:val="24"/>
        </w:rPr>
        <w:t>.</w:t>
      </w:r>
    </w:p>
    <w:p w:rsidR="003F738B" w:rsidRDefault="003B1AEA" w:rsidP="00D62A08">
      <w:pPr>
        <w:pStyle w:val="Corpsdetexte3"/>
        <w:jc w:val="both"/>
        <w:rPr>
          <w:rFonts w:ascii="Calibri" w:eastAsia="Calibri" w:hAnsi="Calibri" w:cs="Calibri"/>
          <w:sz w:val="24"/>
          <w:szCs w:val="24"/>
        </w:rPr>
      </w:pPr>
      <w:r>
        <w:rPr>
          <w:rFonts w:ascii="Calibri" w:eastAsia="Calibri" w:hAnsi="Calibri" w:cs="Calibri"/>
          <w:bCs/>
          <w:sz w:val="24"/>
          <w:szCs w:val="24"/>
        </w:rPr>
        <w:t>La présence massive d’éoliennes a pour conséquences une perturbation des sources et un risque de pollution significatif.</w:t>
      </w:r>
      <w:r>
        <w:rPr>
          <w:rFonts w:ascii="Calibri" w:eastAsia="Calibri" w:hAnsi="Calibri" w:cs="Calibri"/>
          <w:sz w:val="24"/>
          <w:szCs w:val="24"/>
        </w:rPr>
        <w:t xml:space="preserve"> Une éolienne</w:t>
      </w:r>
      <w:r w:rsidR="00D62A08">
        <w:rPr>
          <w:rFonts w:ascii="Calibri" w:eastAsia="Calibri" w:hAnsi="Calibri" w:cs="Calibri"/>
          <w:sz w:val="24"/>
          <w:szCs w:val="24"/>
        </w:rPr>
        <w:t>,</w:t>
      </w:r>
      <w:r>
        <w:rPr>
          <w:rFonts w:ascii="Calibri" w:eastAsia="Calibri" w:hAnsi="Calibri" w:cs="Calibri"/>
          <w:sz w:val="24"/>
          <w:szCs w:val="24"/>
        </w:rPr>
        <w:t xml:space="preserve"> c’est 250 à 400 m</w:t>
      </w:r>
      <w:r w:rsidRPr="00D62A08">
        <w:rPr>
          <w:rFonts w:ascii="Calibri" w:eastAsia="Calibri" w:hAnsi="Calibri" w:cs="Calibri"/>
          <w:sz w:val="24"/>
          <w:szCs w:val="24"/>
          <w:vertAlign w:val="superscript"/>
        </w:rPr>
        <w:t>3</w:t>
      </w:r>
      <w:r>
        <w:rPr>
          <w:rFonts w:ascii="Calibri" w:eastAsia="Calibri" w:hAnsi="Calibri" w:cs="Calibri"/>
          <w:sz w:val="24"/>
          <w:szCs w:val="24"/>
        </w:rPr>
        <w:t xml:space="preserve"> de béton qui seront</w:t>
      </w:r>
      <w:r w:rsidR="00D62A08">
        <w:rPr>
          <w:rFonts w:ascii="Calibri" w:eastAsia="Calibri" w:hAnsi="Calibri" w:cs="Calibri"/>
          <w:sz w:val="24"/>
          <w:szCs w:val="24"/>
        </w:rPr>
        <w:t>,</w:t>
      </w:r>
      <w:r>
        <w:rPr>
          <w:rFonts w:ascii="Calibri" w:eastAsia="Calibri" w:hAnsi="Calibri" w:cs="Calibri"/>
          <w:sz w:val="24"/>
          <w:szCs w:val="24"/>
        </w:rPr>
        <w:t xml:space="preserve"> même après démantèlement</w:t>
      </w:r>
      <w:r w:rsidR="00D62A08">
        <w:rPr>
          <w:rFonts w:ascii="Calibri" w:eastAsia="Calibri" w:hAnsi="Calibri" w:cs="Calibri"/>
          <w:sz w:val="24"/>
          <w:szCs w:val="24"/>
        </w:rPr>
        <w:t>, définitivement dans les sols ;</w:t>
      </w:r>
      <w:r>
        <w:rPr>
          <w:rFonts w:ascii="Calibri" w:eastAsia="Calibri" w:hAnsi="Calibri" w:cs="Calibri"/>
          <w:sz w:val="24"/>
          <w:szCs w:val="24"/>
        </w:rPr>
        <w:t xml:space="preserve"> c</w:t>
      </w:r>
      <w:r w:rsidR="00D62A08">
        <w:rPr>
          <w:rFonts w:ascii="Calibri" w:eastAsia="Calibri" w:hAnsi="Calibri" w:cs="Calibri"/>
          <w:sz w:val="24"/>
          <w:szCs w:val="24"/>
        </w:rPr>
        <w:t>’est 42 à 64 tonnes de ferraille ;</w:t>
      </w:r>
      <w:r>
        <w:rPr>
          <w:rFonts w:ascii="Calibri" w:eastAsia="Calibri" w:hAnsi="Calibri" w:cs="Calibri"/>
          <w:sz w:val="24"/>
          <w:szCs w:val="24"/>
        </w:rPr>
        <w:t xml:space="preserve"> c’est 400 litres d’huile. </w:t>
      </w:r>
    </w:p>
    <w:p w:rsidR="00D62A08" w:rsidRDefault="003B1AEA" w:rsidP="00D62A08">
      <w:pPr>
        <w:spacing w:after="120" w:line="240" w:lineRule="auto"/>
        <w:jc w:val="both"/>
        <w:rPr>
          <w:rFonts w:cs="Calibri"/>
          <w:color w:val="000000"/>
          <w:sz w:val="24"/>
          <w:szCs w:val="24"/>
        </w:rPr>
      </w:pPr>
      <w:r>
        <w:rPr>
          <w:rFonts w:cs="Calibri"/>
          <w:color w:val="000000"/>
          <w:sz w:val="24"/>
          <w:szCs w:val="24"/>
        </w:rPr>
        <w:t>L’Europe et les bassins hydrographiques locaux intègrent à leurs politiques des objectifs de qualité des eaux et</w:t>
      </w:r>
      <w:r w:rsidR="00D7441B">
        <w:rPr>
          <w:rFonts w:cs="Calibri"/>
          <w:color w:val="000000"/>
          <w:sz w:val="24"/>
          <w:szCs w:val="24"/>
        </w:rPr>
        <w:t xml:space="preserve"> des milieux aquatiques décliné</w:t>
      </w:r>
      <w:r>
        <w:rPr>
          <w:rFonts w:cs="Calibri"/>
          <w:color w:val="000000"/>
          <w:sz w:val="24"/>
          <w:szCs w:val="24"/>
        </w:rPr>
        <w:t>s dans les Schémas d’Aménagement et de</w:t>
      </w:r>
      <w:r w:rsidR="00D62A08">
        <w:rPr>
          <w:rFonts w:cs="Calibri"/>
          <w:color w:val="000000"/>
          <w:sz w:val="24"/>
          <w:szCs w:val="24"/>
        </w:rPr>
        <w:t xml:space="preserve"> Gestion des Eaux (SDAGE) Rhône-</w:t>
      </w:r>
      <w:r>
        <w:rPr>
          <w:rFonts w:cs="Calibri"/>
          <w:color w:val="000000"/>
          <w:sz w:val="24"/>
          <w:szCs w:val="24"/>
        </w:rPr>
        <w:t xml:space="preserve">Méditerranée. </w:t>
      </w:r>
    </w:p>
    <w:p w:rsidR="00D62A08" w:rsidRDefault="003B1AEA" w:rsidP="00D62A08">
      <w:pPr>
        <w:spacing w:after="120" w:line="240" w:lineRule="auto"/>
        <w:jc w:val="both"/>
        <w:rPr>
          <w:rFonts w:cs="Calibri"/>
          <w:color w:val="000000"/>
          <w:sz w:val="24"/>
          <w:szCs w:val="24"/>
        </w:rPr>
      </w:pPr>
      <w:r>
        <w:rPr>
          <w:rFonts w:cs="Calibri"/>
          <w:color w:val="000000"/>
          <w:sz w:val="24"/>
          <w:szCs w:val="24"/>
        </w:rPr>
        <w:t xml:space="preserve">La France a posé le principe d’une gestion de l’eau par </w:t>
      </w:r>
      <w:r>
        <w:rPr>
          <w:rFonts w:cs="Calibri"/>
          <w:b/>
          <w:bCs/>
          <w:color w:val="000000"/>
          <w:sz w:val="24"/>
          <w:szCs w:val="24"/>
        </w:rPr>
        <w:t xml:space="preserve">grands bassins versants </w:t>
      </w:r>
      <w:r>
        <w:rPr>
          <w:rFonts w:cs="Calibri"/>
          <w:color w:val="000000"/>
          <w:sz w:val="24"/>
          <w:szCs w:val="24"/>
        </w:rPr>
        <w:t xml:space="preserve">: les bassins hydrographiques rattachés aux principaux fleuves français. </w:t>
      </w:r>
    </w:p>
    <w:p w:rsidR="003F738B" w:rsidRDefault="003B1AEA" w:rsidP="00D62A08">
      <w:pPr>
        <w:spacing w:after="120" w:line="240" w:lineRule="auto"/>
        <w:jc w:val="both"/>
        <w:rPr>
          <w:rFonts w:cs="Calibri"/>
          <w:b/>
          <w:bCs/>
          <w:color w:val="000000"/>
          <w:sz w:val="24"/>
          <w:szCs w:val="24"/>
        </w:rPr>
      </w:pPr>
      <w:r>
        <w:rPr>
          <w:rFonts w:cs="Calibri"/>
          <w:color w:val="000000"/>
          <w:sz w:val="24"/>
          <w:szCs w:val="24"/>
        </w:rPr>
        <w:t>En transposant la directive</w:t>
      </w:r>
      <w:r>
        <w:rPr>
          <w:rFonts w:cs="Calibri"/>
          <w:b/>
          <w:bCs/>
          <w:color w:val="000000"/>
          <w:sz w:val="24"/>
          <w:szCs w:val="24"/>
        </w:rPr>
        <w:t>-</w:t>
      </w:r>
      <w:r>
        <w:rPr>
          <w:rFonts w:cs="Calibri"/>
          <w:color w:val="000000"/>
          <w:sz w:val="24"/>
          <w:szCs w:val="24"/>
        </w:rPr>
        <w:t>cadre sur l’eau prise par l’Europe en 2000, la France s’est fixé</w:t>
      </w:r>
      <w:r w:rsidR="00D7441B">
        <w:rPr>
          <w:rFonts w:cs="Calibri"/>
          <w:color w:val="000000"/>
          <w:sz w:val="24"/>
          <w:szCs w:val="24"/>
        </w:rPr>
        <w:t>e</w:t>
      </w:r>
      <w:r>
        <w:rPr>
          <w:rFonts w:cs="Calibri"/>
          <w:color w:val="000000"/>
          <w:sz w:val="24"/>
          <w:szCs w:val="24"/>
        </w:rPr>
        <w:t xml:space="preserve"> l’objectif d’atteinte du bon état des eaux </w:t>
      </w:r>
      <w:r>
        <w:rPr>
          <w:rFonts w:cs="Calibri"/>
          <w:b/>
          <w:bCs/>
          <w:color w:val="000000"/>
          <w:sz w:val="24"/>
          <w:szCs w:val="24"/>
        </w:rPr>
        <w:t>tant pour les eaux souterraines que pour les eaux superficielles</w:t>
      </w:r>
    </w:p>
    <w:p w:rsidR="00D62A08" w:rsidRDefault="003B1AEA" w:rsidP="00D62A08">
      <w:pPr>
        <w:pStyle w:val="Corpsdetexte3"/>
        <w:jc w:val="both"/>
        <w:rPr>
          <w:rFonts w:ascii="Calibri" w:eastAsia="Calibri" w:hAnsi="Calibri" w:cs="Calibri"/>
          <w:sz w:val="24"/>
          <w:szCs w:val="24"/>
        </w:rPr>
      </w:pPr>
      <w:r>
        <w:rPr>
          <w:rFonts w:ascii="Calibri" w:eastAsia="Calibri" w:hAnsi="Calibri" w:cs="Calibri"/>
          <w:sz w:val="24"/>
          <w:szCs w:val="24"/>
        </w:rPr>
        <w:t xml:space="preserve">Cette partie du territoire riche en eau et en sources, en faune et flore de montagne, héberge déjà le Parc Naturel </w:t>
      </w:r>
      <w:r w:rsidR="00D62A08">
        <w:rPr>
          <w:rFonts w:ascii="Calibri" w:eastAsia="Calibri" w:hAnsi="Calibri" w:cs="Calibri"/>
          <w:sz w:val="24"/>
          <w:szCs w:val="24"/>
        </w:rPr>
        <w:t xml:space="preserve">Régional </w:t>
      </w:r>
      <w:r>
        <w:rPr>
          <w:rFonts w:ascii="Calibri" w:eastAsia="Calibri" w:hAnsi="Calibri" w:cs="Calibri"/>
          <w:sz w:val="24"/>
          <w:szCs w:val="24"/>
        </w:rPr>
        <w:t xml:space="preserve">des Monts d’Ardèche labellisé géoparc mondial. </w:t>
      </w:r>
    </w:p>
    <w:p w:rsidR="003F738B" w:rsidRDefault="003B1AEA" w:rsidP="00D62A08">
      <w:pPr>
        <w:pStyle w:val="Corpsdetexte3"/>
        <w:jc w:val="both"/>
        <w:rPr>
          <w:rFonts w:ascii="Calibri" w:eastAsia="Calibri" w:hAnsi="Calibri" w:cs="Calibri"/>
          <w:sz w:val="24"/>
          <w:szCs w:val="24"/>
        </w:rPr>
      </w:pPr>
      <w:r>
        <w:rPr>
          <w:rFonts w:ascii="Calibri" w:eastAsia="Calibri" w:hAnsi="Calibri" w:cs="Calibri"/>
          <w:sz w:val="24"/>
          <w:szCs w:val="24"/>
        </w:rPr>
        <w:t xml:space="preserve">Un projet de création de Biosphère UNESCO sur les Sources, Gorges et Plateaux Loire Allier Ardèche initié il y a 4 ans avec le Réseau European Rivers Network, trace aussi les contours d’une grande réserve de la </w:t>
      </w:r>
      <w:r>
        <w:rPr>
          <w:rFonts w:ascii="Calibri" w:eastAsia="Calibri" w:hAnsi="Calibri" w:cs="Calibri"/>
          <w:b/>
          <w:bCs/>
          <w:sz w:val="24"/>
          <w:szCs w:val="24"/>
        </w:rPr>
        <w:t xml:space="preserve">civilisation de l’eau et de l’agriculture de montagne </w:t>
      </w:r>
      <w:r w:rsidR="00D62A08">
        <w:rPr>
          <w:rFonts w:ascii="Calibri" w:eastAsia="Calibri" w:hAnsi="Calibri" w:cs="Calibri"/>
          <w:sz w:val="24"/>
          <w:szCs w:val="24"/>
        </w:rPr>
        <w:t>englobant notamment les h</w:t>
      </w:r>
      <w:r>
        <w:rPr>
          <w:rFonts w:ascii="Calibri" w:eastAsia="Calibri" w:hAnsi="Calibri" w:cs="Calibri"/>
          <w:sz w:val="24"/>
          <w:szCs w:val="24"/>
        </w:rPr>
        <w:t>auts-plateaux du Mézenc et les deux fleuves Loire et Allier, dans leur partie amont .</w:t>
      </w:r>
    </w:p>
    <w:p w:rsidR="003F738B" w:rsidRDefault="003F738B">
      <w:pPr>
        <w:pStyle w:val="Corpsdetexte3"/>
        <w:ind w:right="567"/>
        <w:jc w:val="both"/>
        <w:rPr>
          <w:rFonts w:ascii="Calibri" w:eastAsia="Calibri" w:hAnsi="Calibri" w:cs="Calibri"/>
          <w:color w:val="000000"/>
          <w:sz w:val="24"/>
          <w:szCs w:val="24"/>
          <w:lang w:bidi="ar-SA"/>
        </w:rPr>
      </w:pPr>
    </w:p>
    <w:p w:rsidR="003F738B" w:rsidRDefault="003B1AEA" w:rsidP="00D62A08">
      <w:pPr>
        <w:pStyle w:val="Corpsdetexte3"/>
        <w:jc w:val="both"/>
        <w:rPr>
          <w:rFonts w:ascii="Calibri" w:eastAsia="Calibri" w:hAnsi="Calibri" w:cs="Calibri"/>
          <w:b/>
          <w:color w:val="000000"/>
          <w:sz w:val="24"/>
          <w:szCs w:val="24"/>
          <w:lang w:bidi="ar-SA"/>
        </w:rPr>
      </w:pPr>
      <w:r>
        <w:rPr>
          <w:rFonts w:ascii="Calibri" w:eastAsia="Calibri" w:hAnsi="Calibri" w:cs="Calibri"/>
          <w:b/>
          <w:color w:val="000000"/>
          <w:sz w:val="24"/>
          <w:szCs w:val="24"/>
          <w:lang w:bidi="ar-SA"/>
        </w:rPr>
        <w:t>II-5 Conséquences sur l’économie</w:t>
      </w:r>
    </w:p>
    <w:p w:rsidR="003F738B" w:rsidRDefault="003B1AEA" w:rsidP="00D62A08">
      <w:pPr>
        <w:pStyle w:val="Corpsdetexte3"/>
        <w:jc w:val="both"/>
        <w:rPr>
          <w:rFonts w:ascii="Calibri" w:eastAsia="Calibri" w:hAnsi="Calibri" w:cs="Calibri"/>
          <w:b/>
          <w:color w:val="000000"/>
          <w:sz w:val="24"/>
          <w:szCs w:val="24"/>
          <w:lang w:bidi="ar-SA"/>
        </w:rPr>
      </w:pPr>
      <w:r>
        <w:rPr>
          <w:rFonts w:ascii="Calibri" w:eastAsia="Calibri" w:hAnsi="Calibri" w:cs="Calibri"/>
          <w:b/>
          <w:color w:val="000000"/>
          <w:sz w:val="24"/>
          <w:szCs w:val="24"/>
          <w:lang w:bidi="ar-SA"/>
        </w:rPr>
        <w:t>II-5-1 L’influence néfaste sur le tourisme</w:t>
      </w:r>
    </w:p>
    <w:p w:rsidR="003F738B" w:rsidRDefault="003B1AEA" w:rsidP="00D62A08">
      <w:pPr>
        <w:pStyle w:val="Default"/>
        <w:jc w:val="both"/>
        <w:rPr>
          <w:rFonts w:ascii="Calibri" w:eastAsia="Calibri" w:hAnsi="Calibri" w:cs="Calibri"/>
          <w:lang w:bidi="ar-SA"/>
        </w:rPr>
      </w:pPr>
      <w:r>
        <w:rPr>
          <w:rFonts w:ascii="Calibri" w:eastAsia="Calibri" w:hAnsi="Calibri" w:cs="Calibri"/>
          <w:lang w:bidi="ar-SA"/>
        </w:rPr>
        <w:t xml:space="preserve"> Une récente enquête de novembre 2017 conduite par l’Association des </w:t>
      </w:r>
      <w:r w:rsidRPr="00B96271">
        <w:rPr>
          <w:rFonts w:ascii="Calibri" w:eastAsia="Calibri" w:hAnsi="Calibri" w:cs="Calibri"/>
          <w:bCs/>
          <w:lang w:bidi="ar-SA"/>
        </w:rPr>
        <w:t>hébergeurs touristiques</w:t>
      </w:r>
      <w:r>
        <w:rPr>
          <w:rFonts w:ascii="Calibri" w:eastAsia="Calibri" w:hAnsi="Calibri" w:cs="Calibri"/>
          <w:b/>
          <w:bCs/>
          <w:lang w:bidi="ar-SA"/>
        </w:rPr>
        <w:t xml:space="preserve"> </w:t>
      </w:r>
      <w:r>
        <w:rPr>
          <w:rFonts w:ascii="Calibri" w:eastAsia="Calibri" w:hAnsi="Calibri" w:cs="Calibri"/>
          <w:lang w:bidi="ar-SA"/>
        </w:rPr>
        <w:t xml:space="preserve">de l’Indre sur les conséquences économiques de l’éolien sur le tourisme mérite notre attention : 1 280 touristes interrogés accueillis en gîtes et chambres d’hôtes ont répondu que si les éoliennes sont visibles : </w:t>
      </w:r>
    </w:p>
    <w:p w:rsidR="003F738B" w:rsidRDefault="003B1AEA" w:rsidP="00D62A08">
      <w:pPr>
        <w:spacing w:after="58" w:line="240" w:lineRule="auto"/>
        <w:ind w:left="708"/>
        <w:jc w:val="both"/>
        <w:rPr>
          <w:rFonts w:cs="Calibri"/>
          <w:color w:val="000000"/>
          <w:sz w:val="24"/>
          <w:szCs w:val="24"/>
        </w:rPr>
      </w:pPr>
      <w:r>
        <w:rPr>
          <w:rFonts w:cs="Calibri"/>
          <w:color w:val="000000"/>
          <w:sz w:val="24"/>
          <w:szCs w:val="24"/>
        </w:rPr>
        <w:t xml:space="preserve">- du lieu d’hébergement (0 à 2 km), 97 % changent de destination ; </w:t>
      </w:r>
    </w:p>
    <w:p w:rsidR="003F738B" w:rsidRDefault="003B1AEA" w:rsidP="00D62A08">
      <w:pPr>
        <w:spacing w:after="58" w:line="240" w:lineRule="auto"/>
        <w:ind w:left="708"/>
        <w:jc w:val="both"/>
        <w:rPr>
          <w:rFonts w:cs="Calibri"/>
          <w:color w:val="000000"/>
          <w:sz w:val="24"/>
          <w:szCs w:val="24"/>
        </w:rPr>
      </w:pPr>
      <w:r>
        <w:rPr>
          <w:rFonts w:cs="Calibri"/>
          <w:color w:val="000000"/>
          <w:sz w:val="24"/>
          <w:szCs w:val="24"/>
        </w:rPr>
        <w:t xml:space="preserve">- à moyenne distance (2 à 10 km), 95 % changent de destination ; </w:t>
      </w:r>
    </w:p>
    <w:p w:rsidR="003F738B" w:rsidRDefault="003B1AEA" w:rsidP="00D62A08">
      <w:pPr>
        <w:spacing w:after="0" w:line="240" w:lineRule="auto"/>
        <w:ind w:left="708"/>
        <w:jc w:val="both"/>
        <w:rPr>
          <w:rFonts w:cs="Calibri"/>
          <w:color w:val="000000"/>
          <w:sz w:val="24"/>
          <w:szCs w:val="24"/>
        </w:rPr>
      </w:pPr>
      <w:r>
        <w:rPr>
          <w:rFonts w:cs="Calibri"/>
          <w:color w:val="000000"/>
          <w:sz w:val="24"/>
          <w:szCs w:val="24"/>
        </w:rPr>
        <w:t xml:space="preserve">- à l’horizon (+ 10 km), 72 % changent de destination </w:t>
      </w:r>
    </w:p>
    <w:p w:rsidR="003F738B" w:rsidRDefault="003F738B">
      <w:pPr>
        <w:pStyle w:val="Corpsdetexte3"/>
        <w:ind w:right="567"/>
        <w:jc w:val="both"/>
        <w:rPr>
          <w:rFonts w:ascii="Calibri" w:eastAsia="Calibri" w:hAnsi="Calibri" w:cs="Calibri"/>
          <w:color w:val="000000"/>
          <w:sz w:val="24"/>
          <w:szCs w:val="24"/>
          <w:lang w:bidi="ar-SA"/>
        </w:rPr>
      </w:pPr>
    </w:p>
    <w:p w:rsidR="003F738B" w:rsidRDefault="003B1AEA" w:rsidP="00D62A08">
      <w:pPr>
        <w:pStyle w:val="Corpsdetexte3"/>
        <w:jc w:val="both"/>
        <w:rPr>
          <w:rFonts w:ascii="Calibri" w:eastAsia="Calibri" w:hAnsi="Calibri" w:cs="Calibri"/>
          <w:color w:val="000000"/>
          <w:sz w:val="24"/>
          <w:szCs w:val="24"/>
          <w:lang w:bidi="ar-SA"/>
        </w:rPr>
      </w:pPr>
      <w:r>
        <w:rPr>
          <w:rFonts w:ascii="Calibri" w:eastAsia="Calibri" w:hAnsi="Calibri" w:cs="Calibri"/>
          <w:color w:val="000000"/>
          <w:sz w:val="24"/>
          <w:szCs w:val="24"/>
          <w:lang w:bidi="ar-SA"/>
        </w:rPr>
        <w:t>La zone Mézenc/Meygal/Gerbier a basé toute son économie sur l’agriculture et le tourisme.</w:t>
      </w:r>
    </w:p>
    <w:p w:rsidR="003F738B" w:rsidRDefault="00B96271" w:rsidP="00D62A08">
      <w:pPr>
        <w:pStyle w:val="Corpsdetexte3"/>
        <w:jc w:val="both"/>
        <w:rPr>
          <w:rFonts w:ascii="Calibri" w:eastAsia="Calibri" w:hAnsi="Calibri" w:cs="Calibri"/>
          <w:color w:val="000000"/>
          <w:sz w:val="24"/>
          <w:szCs w:val="24"/>
          <w:lang w:bidi="ar-SA"/>
        </w:rPr>
      </w:pPr>
      <w:r>
        <w:rPr>
          <w:rFonts w:ascii="Calibri" w:eastAsia="Calibri" w:hAnsi="Calibri" w:cs="Calibri"/>
          <w:color w:val="000000"/>
          <w:sz w:val="24"/>
          <w:szCs w:val="24"/>
          <w:lang w:bidi="ar-SA"/>
        </w:rPr>
        <w:t>Le m</w:t>
      </w:r>
      <w:r w:rsidR="003B1AEA">
        <w:rPr>
          <w:rFonts w:ascii="Calibri" w:eastAsia="Calibri" w:hAnsi="Calibri" w:cs="Calibri"/>
          <w:color w:val="000000"/>
          <w:sz w:val="24"/>
          <w:szCs w:val="24"/>
          <w:lang w:bidi="ar-SA"/>
        </w:rPr>
        <w:t xml:space="preserve">ont Gerbier de Jonc </w:t>
      </w:r>
      <w:r w:rsidR="002D2A6B">
        <w:rPr>
          <w:rFonts w:ascii="Calibri" w:eastAsia="Calibri" w:hAnsi="Calibri" w:cs="Calibri"/>
          <w:color w:val="000000"/>
          <w:sz w:val="24"/>
          <w:szCs w:val="24"/>
          <w:lang w:bidi="ar-SA"/>
        </w:rPr>
        <w:t xml:space="preserve">notamment </w:t>
      </w:r>
      <w:r w:rsidR="003B1AEA">
        <w:rPr>
          <w:rFonts w:ascii="Calibri" w:eastAsia="Calibri" w:hAnsi="Calibri" w:cs="Calibri"/>
          <w:color w:val="000000"/>
          <w:sz w:val="24"/>
          <w:szCs w:val="24"/>
          <w:lang w:bidi="ar-SA"/>
        </w:rPr>
        <w:t xml:space="preserve">accueille </w:t>
      </w:r>
      <w:r w:rsidR="00921D1A">
        <w:rPr>
          <w:rFonts w:ascii="Calibri" w:eastAsia="Calibri" w:hAnsi="Calibri" w:cs="Calibri"/>
          <w:color w:val="000000"/>
          <w:sz w:val="24"/>
          <w:szCs w:val="24"/>
          <w:lang w:bidi="ar-SA"/>
        </w:rPr>
        <w:t>450 000</w:t>
      </w:r>
      <w:r w:rsidR="003B1AEA">
        <w:rPr>
          <w:rFonts w:ascii="Calibri" w:eastAsia="Calibri" w:hAnsi="Calibri" w:cs="Calibri"/>
          <w:color w:val="000000"/>
          <w:sz w:val="24"/>
          <w:szCs w:val="24"/>
          <w:lang w:bidi="ar-SA"/>
        </w:rPr>
        <w:t xml:space="preserve"> visiteurs par an. La station de ski du massif du Mézenc, aux Es</w:t>
      </w:r>
      <w:r w:rsidR="002D2A6B">
        <w:rPr>
          <w:rFonts w:ascii="Calibri" w:eastAsia="Calibri" w:hAnsi="Calibri" w:cs="Calibri"/>
          <w:color w:val="000000"/>
          <w:sz w:val="24"/>
          <w:szCs w:val="24"/>
          <w:lang w:bidi="ar-SA"/>
        </w:rPr>
        <w:t>tables, en accueille environ 10 000</w:t>
      </w:r>
      <w:r w:rsidR="003B1AEA">
        <w:rPr>
          <w:rFonts w:ascii="Calibri" w:eastAsia="Calibri" w:hAnsi="Calibri" w:cs="Calibri"/>
          <w:color w:val="000000"/>
          <w:sz w:val="24"/>
          <w:szCs w:val="24"/>
          <w:lang w:bidi="ar-SA"/>
        </w:rPr>
        <w:t>. Tourisme «vert», ski, sports de pleine  nature et  production d’une alimentation labellisée de qualité, sont les atouts de ce territoire.</w:t>
      </w:r>
    </w:p>
    <w:p w:rsidR="003F738B" w:rsidRDefault="00B96271" w:rsidP="00D62A08">
      <w:pPr>
        <w:pStyle w:val="Corpsdetexte3"/>
        <w:jc w:val="both"/>
        <w:rPr>
          <w:rFonts w:ascii="Calibri" w:eastAsia="Calibri" w:hAnsi="Calibri" w:cs="Calibri"/>
          <w:color w:val="000000"/>
          <w:sz w:val="24"/>
          <w:szCs w:val="24"/>
          <w:lang w:bidi="ar-SA"/>
        </w:rPr>
      </w:pPr>
      <w:r>
        <w:rPr>
          <w:rFonts w:ascii="Calibri" w:eastAsia="Calibri" w:hAnsi="Calibri" w:cs="Calibri"/>
          <w:color w:val="000000"/>
          <w:sz w:val="24"/>
          <w:szCs w:val="24"/>
          <w:lang w:bidi="ar-SA"/>
        </w:rPr>
        <w:t xml:space="preserve">Les résidences secondaires – </w:t>
      </w:r>
      <w:r w:rsidR="003B1AEA">
        <w:rPr>
          <w:rFonts w:ascii="Calibri" w:eastAsia="Calibri" w:hAnsi="Calibri" w:cs="Calibri"/>
          <w:color w:val="000000"/>
          <w:sz w:val="24"/>
          <w:szCs w:val="24"/>
          <w:lang w:bidi="ar-SA"/>
        </w:rPr>
        <w:t>dont le nombre est supérieur à 50</w:t>
      </w:r>
      <w:r>
        <w:rPr>
          <w:rFonts w:ascii="Calibri" w:eastAsia="Calibri" w:hAnsi="Calibri" w:cs="Calibri"/>
          <w:color w:val="000000"/>
          <w:sz w:val="24"/>
          <w:szCs w:val="24"/>
          <w:lang w:bidi="ar-SA"/>
        </w:rPr>
        <w:t xml:space="preserve"> % dans nombre de villages – </w:t>
      </w:r>
      <w:r w:rsidR="003B1AEA">
        <w:rPr>
          <w:rFonts w:ascii="Calibri" w:eastAsia="Calibri" w:hAnsi="Calibri" w:cs="Calibri"/>
          <w:color w:val="000000"/>
          <w:sz w:val="24"/>
          <w:szCs w:val="24"/>
          <w:lang w:bidi="ar-SA"/>
        </w:rPr>
        <w:t xml:space="preserve">montrent l’attachement de la population de la Région </w:t>
      </w:r>
      <w:r>
        <w:rPr>
          <w:rFonts w:ascii="Calibri" w:eastAsia="Calibri" w:hAnsi="Calibri" w:cs="Calibri"/>
          <w:color w:val="000000"/>
          <w:sz w:val="24"/>
          <w:szCs w:val="24"/>
          <w:lang w:bidi="ar-SA"/>
        </w:rPr>
        <w:t>Auvergne-</w:t>
      </w:r>
      <w:r w:rsidR="003B1AEA">
        <w:rPr>
          <w:rFonts w:ascii="Calibri" w:eastAsia="Calibri" w:hAnsi="Calibri" w:cs="Calibri"/>
          <w:color w:val="000000"/>
          <w:sz w:val="24"/>
          <w:szCs w:val="24"/>
          <w:lang w:bidi="ar-SA"/>
        </w:rPr>
        <w:t>Rhône-Alpes à ses montagnes de Haute-Loire et de la haute Ardèche. Ce tourisme fait vivre chambres d’hôtes, hôtels,  restaurants, et tout un réseau d’artisans-producteurs agro-alimentaires et de services d’entretien et maintenance du patrimoine bâti autour de la population saisonnière et résidentielle.</w:t>
      </w:r>
    </w:p>
    <w:p w:rsidR="003F738B" w:rsidRDefault="003B1AEA" w:rsidP="00B96271">
      <w:pPr>
        <w:pStyle w:val="Corpsdetexte3"/>
        <w:spacing w:after="0"/>
        <w:jc w:val="both"/>
        <w:rPr>
          <w:rFonts w:ascii="Calibri" w:eastAsia="Calibri" w:hAnsi="Calibri" w:cs="Calibri"/>
          <w:sz w:val="24"/>
          <w:szCs w:val="24"/>
        </w:rPr>
      </w:pPr>
      <w:r>
        <w:rPr>
          <w:rFonts w:ascii="Calibri" w:eastAsia="Calibri" w:hAnsi="Calibri" w:cs="Calibri"/>
          <w:color w:val="000000"/>
          <w:sz w:val="24"/>
          <w:szCs w:val="24"/>
          <w:lang w:bidi="ar-SA"/>
        </w:rPr>
        <w:t>La perte d’une fraction de ces r</w:t>
      </w:r>
      <w:r w:rsidR="00D7441B">
        <w:rPr>
          <w:rFonts w:ascii="Calibri" w:eastAsia="Calibri" w:hAnsi="Calibri" w:cs="Calibri"/>
          <w:color w:val="000000"/>
          <w:sz w:val="24"/>
          <w:szCs w:val="24"/>
          <w:lang w:bidi="ar-SA"/>
        </w:rPr>
        <w:t>evenus aurait comme conséquence</w:t>
      </w:r>
      <w:r>
        <w:rPr>
          <w:rFonts w:ascii="Calibri" w:eastAsia="Calibri" w:hAnsi="Calibri" w:cs="Calibri"/>
          <w:color w:val="000000"/>
          <w:sz w:val="24"/>
          <w:szCs w:val="24"/>
          <w:lang w:bidi="ar-SA"/>
        </w:rPr>
        <w:t xml:space="preserve"> une désertification accrue. Prenons pour exemple le cas de Freycenet-la-Tour </w:t>
      </w:r>
      <w:r>
        <w:rPr>
          <w:rFonts w:ascii="Calibri" w:eastAsia="Calibri" w:hAnsi="Calibri" w:cs="Calibri"/>
          <w:sz w:val="24"/>
          <w:szCs w:val="24"/>
        </w:rPr>
        <w:t>: depuis la mise en service en 2009 de 6 éoliennes industrielles, ce petit village touristique est celui qui a perdu le plus d’habitants : selon l’INSEE, une baisse de 26 % de sa population, en moyenne 6,8 habitants/an alors que la population était stable</w:t>
      </w:r>
      <w:r>
        <w:rPr>
          <w:rStyle w:val="Appelnotedebasdep1"/>
          <w:rFonts w:ascii="Liberation Serif" w:eastAsia="Droid Sans" w:hAnsi="Liberation Serif" w:cs="Lohit Hindi"/>
          <w:sz w:val="20"/>
          <w:szCs w:val="20"/>
        </w:rPr>
        <w:footnoteRef/>
      </w:r>
      <w:r>
        <w:rPr>
          <w:rStyle w:val="Appelnotedebasdep1"/>
          <w:rFonts w:ascii="Liberation Serif" w:eastAsia="Droid Sans" w:hAnsi="Liberation Serif" w:cs="Lohit Hindi"/>
          <w:sz w:val="20"/>
          <w:szCs w:val="20"/>
        </w:rPr>
        <w:footnoteRef/>
      </w:r>
      <w:r>
        <w:rPr>
          <w:rFonts w:ascii="Calibri" w:eastAsia="Calibri" w:hAnsi="Calibri" w:cs="Calibri"/>
          <w:sz w:val="24"/>
          <w:szCs w:val="24"/>
        </w:rPr>
        <w:t xml:space="preserve"> jusqu’alors.  Cette baisse est la </w:t>
      </w:r>
      <w:r w:rsidR="00B96271">
        <w:rPr>
          <w:rFonts w:ascii="Calibri" w:eastAsia="Calibri" w:hAnsi="Calibri" w:cs="Calibri"/>
          <w:sz w:val="24"/>
          <w:szCs w:val="24"/>
        </w:rPr>
        <w:t>plus forte de toutes celles</w:t>
      </w:r>
      <w:r>
        <w:rPr>
          <w:rFonts w:ascii="Calibri" w:eastAsia="Calibri" w:hAnsi="Calibri" w:cs="Calibri"/>
          <w:sz w:val="24"/>
          <w:szCs w:val="24"/>
        </w:rPr>
        <w:t xml:space="preserve"> qu’ont pu connaître les communes voisines de taille similaire.</w:t>
      </w:r>
    </w:p>
    <w:p w:rsidR="00B96271" w:rsidRDefault="00B96271">
      <w:pPr>
        <w:spacing w:after="0" w:line="240" w:lineRule="auto"/>
        <w:ind w:right="567"/>
        <w:jc w:val="both"/>
        <w:rPr>
          <w:rFonts w:cs="Calibri"/>
          <w:b/>
          <w:bCs/>
          <w:i/>
          <w:iCs/>
          <w:color w:val="000000"/>
          <w:sz w:val="24"/>
          <w:szCs w:val="24"/>
        </w:rPr>
      </w:pPr>
    </w:p>
    <w:p w:rsidR="003F738B" w:rsidRDefault="00B96271" w:rsidP="00B96271">
      <w:pPr>
        <w:spacing w:after="120" w:line="240" w:lineRule="auto"/>
        <w:ind w:right="567"/>
        <w:jc w:val="both"/>
        <w:rPr>
          <w:rFonts w:cs="Calibri"/>
          <w:b/>
          <w:bCs/>
          <w:i/>
          <w:iCs/>
          <w:color w:val="000000"/>
          <w:sz w:val="24"/>
          <w:szCs w:val="24"/>
        </w:rPr>
      </w:pPr>
      <w:r>
        <w:rPr>
          <w:rFonts w:cs="Calibri"/>
          <w:b/>
          <w:bCs/>
          <w:i/>
          <w:iCs/>
          <w:color w:val="000000"/>
          <w:sz w:val="24"/>
          <w:szCs w:val="24"/>
        </w:rPr>
        <w:t>Le label UNESCO du Parc n</w:t>
      </w:r>
      <w:r w:rsidR="003B1AEA">
        <w:rPr>
          <w:rFonts w:cs="Calibri"/>
          <w:b/>
          <w:bCs/>
          <w:i/>
          <w:iCs/>
          <w:color w:val="000000"/>
          <w:sz w:val="24"/>
          <w:szCs w:val="24"/>
        </w:rPr>
        <w:t>aturel</w:t>
      </w:r>
      <w:r>
        <w:rPr>
          <w:rFonts w:cs="Calibri"/>
          <w:b/>
          <w:bCs/>
          <w:i/>
          <w:iCs/>
          <w:color w:val="000000"/>
          <w:sz w:val="24"/>
          <w:szCs w:val="24"/>
        </w:rPr>
        <w:t xml:space="preserve"> régional </w:t>
      </w:r>
      <w:r w:rsidR="003B1AEA">
        <w:rPr>
          <w:rFonts w:cs="Calibri"/>
          <w:b/>
          <w:bCs/>
          <w:i/>
          <w:iCs/>
          <w:color w:val="000000"/>
          <w:sz w:val="24"/>
          <w:szCs w:val="24"/>
        </w:rPr>
        <w:t xml:space="preserve">des monts d'Ardèche remis en cause ? </w:t>
      </w:r>
    </w:p>
    <w:p w:rsidR="003F738B" w:rsidRDefault="003B1AEA" w:rsidP="00D62A08">
      <w:pPr>
        <w:pStyle w:val="Corpsdetexte3"/>
        <w:spacing w:after="0"/>
        <w:jc w:val="both"/>
        <w:rPr>
          <w:rFonts w:ascii="Calibri" w:eastAsia="Calibri" w:hAnsi="Calibri" w:cs="Calibri"/>
          <w:sz w:val="24"/>
          <w:szCs w:val="24"/>
        </w:rPr>
      </w:pPr>
      <w:r>
        <w:rPr>
          <w:rFonts w:ascii="Calibri" w:eastAsia="Calibri" w:hAnsi="Calibri" w:cs="Calibri"/>
          <w:sz w:val="24"/>
          <w:szCs w:val="24"/>
        </w:rPr>
        <w:t>En 2014, le Parc naturel régional des Monts d’Ardèche, qui inclut des communes limitrophes de Haute-Loire, obtient le label géoparc de l’Unesco pour son espace territorial et un héritage géologique d’importance internationale. La même année, le Schéma de Cohérence économique de l’Auvergne indique : "Environnement et paysages de qualité sont des facteurs majeurs pour l'Auvergne</w:t>
      </w:r>
      <w:r>
        <w:rPr>
          <w:rFonts w:ascii="Calibri" w:eastAsia="Calibri" w:hAnsi="Calibri" w:cs="Calibri"/>
          <w:i/>
          <w:iCs/>
          <w:sz w:val="24"/>
          <w:szCs w:val="24"/>
        </w:rPr>
        <w:t xml:space="preserve">.  </w:t>
      </w:r>
      <w:r>
        <w:rPr>
          <w:rFonts w:ascii="Calibri" w:eastAsia="Calibri" w:hAnsi="Calibri" w:cs="Calibri"/>
          <w:sz w:val="24"/>
          <w:szCs w:val="24"/>
        </w:rPr>
        <w:t xml:space="preserve">Dans le cadre du renouvellement 2018 du label UNESCO du Géoparc mondial des Monts d'Ardèche, le </w:t>
      </w:r>
      <w:r>
        <w:rPr>
          <w:rFonts w:ascii="Calibri" w:eastAsia="Calibri" w:hAnsi="Calibri" w:cs="Calibri"/>
          <w:b/>
          <w:bCs/>
          <w:i/>
          <w:iCs/>
          <w:sz w:val="24"/>
          <w:szCs w:val="24"/>
        </w:rPr>
        <w:t>P</w:t>
      </w:r>
      <w:r>
        <w:rPr>
          <w:rFonts w:ascii="Calibri" w:eastAsia="Calibri" w:hAnsi="Calibri" w:cs="Calibri"/>
          <w:i/>
          <w:iCs/>
          <w:sz w:val="24"/>
          <w:szCs w:val="24"/>
        </w:rPr>
        <w:t xml:space="preserve">arc </w:t>
      </w:r>
      <w:r>
        <w:rPr>
          <w:rFonts w:ascii="Calibri" w:eastAsia="Calibri" w:hAnsi="Calibri" w:cs="Calibri"/>
          <w:b/>
          <w:bCs/>
          <w:i/>
          <w:iCs/>
          <w:sz w:val="24"/>
          <w:szCs w:val="24"/>
        </w:rPr>
        <w:t>n</w:t>
      </w:r>
      <w:r>
        <w:rPr>
          <w:rFonts w:ascii="Calibri" w:eastAsia="Calibri" w:hAnsi="Calibri" w:cs="Calibri"/>
          <w:i/>
          <w:iCs/>
          <w:sz w:val="24"/>
          <w:szCs w:val="24"/>
        </w:rPr>
        <w:t xml:space="preserve">aturel </w:t>
      </w:r>
      <w:r>
        <w:rPr>
          <w:rFonts w:ascii="Calibri" w:eastAsia="Calibri" w:hAnsi="Calibri" w:cs="Calibri"/>
          <w:b/>
          <w:bCs/>
          <w:i/>
          <w:iCs/>
          <w:sz w:val="24"/>
          <w:szCs w:val="24"/>
        </w:rPr>
        <w:t>r</w:t>
      </w:r>
      <w:r>
        <w:rPr>
          <w:rFonts w:ascii="Calibri" w:eastAsia="Calibri" w:hAnsi="Calibri" w:cs="Calibri"/>
          <w:i/>
          <w:iCs/>
          <w:sz w:val="24"/>
          <w:szCs w:val="24"/>
        </w:rPr>
        <w:t xml:space="preserve">égional </w:t>
      </w:r>
      <w:r>
        <w:rPr>
          <w:rFonts w:ascii="Calibri" w:eastAsia="Calibri" w:hAnsi="Calibri" w:cs="Calibri"/>
          <w:sz w:val="24"/>
          <w:szCs w:val="24"/>
        </w:rPr>
        <w:t xml:space="preserve">des </w:t>
      </w:r>
      <w:r>
        <w:rPr>
          <w:rFonts w:ascii="Calibri" w:eastAsia="Calibri" w:hAnsi="Calibri" w:cs="Calibri"/>
          <w:i/>
          <w:iCs/>
          <w:sz w:val="24"/>
          <w:szCs w:val="24"/>
        </w:rPr>
        <w:t xml:space="preserve">Monts d’Ardèche souhaite le renouvellement du label pour une quinzaine de sites. </w:t>
      </w:r>
      <w:r w:rsidR="00B96271">
        <w:rPr>
          <w:rFonts w:ascii="Calibri" w:eastAsia="Calibri" w:hAnsi="Calibri" w:cs="Calibri"/>
          <w:sz w:val="24"/>
          <w:szCs w:val="24"/>
        </w:rPr>
        <w:t>Ces sites montrent que, « </w:t>
      </w:r>
      <w:r>
        <w:rPr>
          <w:rFonts w:ascii="Calibri" w:eastAsia="Calibri" w:hAnsi="Calibri" w:cs="Calibri"/>
          <w:sz w:val="24"/>
          <w:szCs w:val="24"/>
        </w:rPr>
        <w:t>sur tout le territoire, l'homme a puisé dans le sol pour modeler le relief, participant ainsi à la grande création des paysages qui avait débuté des million</w:t>
      </w:r>
      <w:r w:rsidR="00B96271">
        <w:rPr>
          <w:rFonts w:ascii="Calibri" w:eastAsia="Calibri" w:hAnsi="Calibri" w:cs="Calibri"/>
          <w:sz w:val="24"/>
          <w:szCs w:val="24"/>
        </w:rPr>
        <w:t xml:space="preserve">s d'années avant son arrivée : </w:t>
      </w:r>
      <w:r>
        <w:rPr>
          <w:rFonts w:ascii="Calibri" w:eastAsia="Calibri" w:hAnsi="Calibri" w:cs="Calibri"/>
          <w:sz w:val="24"/>
          <w:szCs w:val="24"/>
        </w:rPr>
        <w:t>avec les pierres de</w:t>
      </w:r>
      <w:r w:rsidR="00D7441B">
        <w:rPr>
          <w:rFonts w:ascii="Calibri" w:eastAsia="Calibri" w:hAnsi="Calibri" w:cs="Calibri"/>
          <w:sz w:val="24"/>
          <w:szCs w:val="24"/>
        </w:rPr>
        <w:t xml:space="preserve"> granit et schiste, il a contré</w:t>
      </w:r>
      <w:r>
        <w:rPr>
          <w:rFonts w:ascii="Calibri" w:eastAsia="Calibri" w:hAnsi="Calibri" w:cs="Calibri"/>
          <w:sz w:val="24"/>
          <w:szCs w:val="24"/>
        </w:rPr>
        <w:t xml:space="preserve"> les pentes et est devenu acteur géologique. Sur les constructions de basalte ou de granit, les toits de lauzes, il est aujourd'hui possible de lire l'histoire de la terre dans le mur d'une maison cévenole ». La terre de contrainte, parce qu'elle était trop pauvre ou trop pentue, est devenue terre de richesse lorsque les hommes ont su</w:t>
      </w:r>
      <w:r w:rsidR="00D7441B">
        <w:rPr>
          <w:rFonts w:ascii="Calibri" w:eastAsia="Calibri" w:hAnsi="Calibri" w:cs="Calibri"/>
          <w:sz w:val="24"/>
          <w:szCs w:val="24"/>
        </w:rPr>
        <w:t xml:space="preserve"> l'appréhender : mines d'argent</w:t>
      </w:r>
      <w:r>
        <w:rPr>
          <w:rFonts w:ascii="Calibri" w:eastAsia="Calibri" w:hAnsi="Calibri" w:cs="Calibri"/>
          <w:sz w:val="24"/>
          <w:szCs w:val="24"/>
        </w:rPr>
        <w:t>, de fluor, de fer, de charbon, carrières de granites ou de pouzzolanes, lauzières... ». Des mâts de métal ou béton blanc de 150 m de haut, par leur verticalité et leur gigantisme viendraient heurter la ligne d’</w:t>
      </w:r>
      <w:r w:rsidR="00B96271">
        <w:rPr>
          <w:rFonts w:ascii="Calibri" w:eastAsia="Calibri" w:hAnsi="Calibri" w:cs="Calibri"/>
          <w:sz w:val="24"/>
          <w:szCs w:val="24"/>
        </w:rPr>
        <w:t xml:space="preserve">horizon des paysages des hautes </w:t>
      </w:r>
      <w:r>
        <w:rPr>
          <w:rFonts w:ascii="Calibri" w:eastAsia="Calibri" w:hAnsi="Calibri" w:cs="Calibri"/>
          <w:sz w:val="24"/>
          <w:szCs w:val="24"/>
        </w:rPr>
        <w:t>terres parsemées de « sucs » et de monts. Mitant le paysage, visible de tous les sites remarquables, ces structures aberrantes dans les paysages du volcanisme ancien seraient de nature à faire perdre le label.</w:t>
      </w:r>
    </w:p>
    <w:p w:rsidR="00D62A08" w:rsidRDefault="00D62A08">
      <w:pPr>
        <w:pStyle w:val="Corpsdetexte3"/>
        <w:ind w:right="567"/>
        <w:jc w:val="both"/>
        <w:rPr>
          <w:rFonts w:ascii="Calibri" w:eastAsia="Calibri" w:hAnsi="Calibri" w:cs="Calibri"/>
          <w:b/>
          <w:bCs/>
          <w:sz w:val="24"/>
          <w:szCs w:val="24"/>
        </w:rPr>
      </w:pPr>
    </w:p>
    <w:p w:rsidR="003F738B" w:rsidRDefault="003B1AEA">
      <w:pPr>
        <w:pStyle w:val="Corpsdetexte3"/>
        <w:ind w:right="567"/>
        <w:jc w:val="both"/>
        <w:rPr>
          <w:rFonts w:ascii="Calibri" w:eastAsia="Calibri" w:hAnsi="Calibri" w:cs="Calibri"/>
          <w:b/>
          <w:bCs/>
          <w:sz w:val="24"/>
          <w:szCs w:val="24"/>
        </w:rPr>
      </w:pPr>
      <w:r>
        <w:rPr>
          <w:rFonts w:ascii="Calibri" w:eastAsia="Calibri" w:hAnsi="Calibri" w:cs="Calibri"/>
          <w:b/>
          <w:bCs/>
          <w:sz w:val="24"/>
          <w:szCs w:val="24"/>
        </w:rPr>
        <w:t>II-5-2 La dépréciation du bâti</w:t>
      </w:r>
    </w:p>
    <w:p w:rsidR="003F738B" w:rsidRDefault="003B1AEA" w:rsidP="00D62A08">
      <w:pPr>
        <w:spacing w:after="0" w:line="240" w:lineRule="auto"/>
        <w:jc w:val="both"/>
        <w:rPr>
          <w:rFonts w:cs="Calibri"/>
          <w:color w:val="000000"/>
          <w:sz w:val="24"/>
          <w:szCs w:val="24"/>
        </w:rPr>
      </w:pPr>
      <w:r>
        <w:rPr>
          <w:rFonts w:cs="Calibri"/>
          <w:color w:val="000000"/>
          <w:sz w:val="24"/>
          <w:szCs w:val="24"/>
        </w:rPr>
        <w:t xml:space="preserve">Les coûts jusqu’alors méconnus des dépréciations immobilières sont désormais révélés par les actions en justice des habitants lésés : ils sont estimés à plus de 20 %. </w:t>
      </w:r>
    </w:p>
    <w:p w:rsidR="003F738B" w:rsidRDefault="003B1AEA" w:rsidP="00D62A08">
      <w:pPr>
        <w:pStyle w:val="Corpsdetexte3"/>
        <w:jc w:val="both"/>
        <w:rPr>
          <w:rFonts w:ascii="Calibri" w:eastAsia="Calibri" w:hAnsi="Calibri" w:cs="Calibri"/>
          <w:color w:val="000000"/>
          <w:sz w:val="24"/>
          <w:szCs w:val="24"/>
          <w:lang w:bidi="ar-SA"/>
        </w:rPr>
      </w:pPr>
      <w:r>
        <w:rPr>
          <w:rFonts w:ascii="Calibri" w:eastAsia="Calibri" w:hAnsi="Calibri" w:cs="Calibri"/>
          <w:color w:val="000000"/>
          <w:sz w:val="24"/>
          <w:szCs w:val="24"/>
          <w:lang w:bidi="ar-SA"/>
        </w:rPr>
        <w:t>Le 23 mars 20</w:t>
      </w:r>
      <w:r w:rsidR="00B96271">
        <w:rPr>
          <w:rFonts w:ascii="Calibri" w:eastAsia="Calibri" w:hAnsi="Calibri" w:cs="Calibri"/>
          <w:color w:val="000000"/>
          <w:sz w:val="24"/>
          <w:szCs w:val="24"/>
          <w:lang w:bidi="ar-SA"/>
        </w:rPr>
        <w:t>16, la cour d’appel de Rennes</w:t>
      </w:r>
      <w:r>
        <w:rPr>
          <w:rFonts w:ascii="Calibri" w:eastAsia="Calibri" w:hAnsi="Calibri" w:cs="Calibri"/>
          <w:color w:val="000000"/>
          <w:sz w:val="24"/>
          <w:szCs w:val="24"/>
          <w:lang w:bidi="ar-SA"/>
        </w:rPr>
        <w:t xml:space="preserve"> a confirmé la dépréciation immobilière et l’annulation d’une vente – comme l’avait fait le 9 avril 2007 la cour d’appel d’Angers – et validé l’indemnisation des acheteurs qui ignoraient l’existence du projet éolien : 18 000 € dans un cas, et 30 000 € dans l’autre pour une maison de 145 000 €.</w:t>
      </w:r>
    </w:p>
    <w:p w:rsidR="003F738B" w:rsidRDefault="003F738B">
      <w:pPr>
        <w:pStyle w:val="Corpsdetexte3"/>
        <w:ind w:right="567"/>
        <w:jc w:val="both"/>
        <w:rPr>
          <w:rFonts w:ascii="Calibri" w:eastAsia="Calibri" w:hAnsi="Calibri" w:cs="Calibri"/>
          <w:color w:val="000000"/>
          <w:sz w:val="24"/>
          <w:szCs w:val="24"/>
          <w:lang w:bidi="ar-SA"/>
        </w:rPr>
      </w:pPr>
    </w:p>
    <w:p w:rsidR="003F738B" w:rsidRDefault="003B1AEA" w:rsidP="00D62A08">
      <w:pPr>
        <w:pStyle w:val="Standard"/>
        <w:ind w:right="567"/>
        <w:jc w:val="both"/>
        <w:rPr>
          <w:sz w:val="24"/>
          <w:szCs w:val="24"/>
        </w:rPr>
      </w:pPr>
      <w:r>
        <w:rPr>
          <w:b/>
          <w:sz w:val="24"/>
          <w:szCs w:val="24"/>
        </w:rPr>
        <w:t xml:space="preserve"> En conclusion</w:t>
      </w:r>
      <w:r>
        <w:rPr>
          <w:sz w:val="24"/>
          <w:szCs w:val="24"/>
        </w:rPr>
        <w:t>,</w:t>
      </w:r>
    </w:p>
    <w:p w:rsidR="003F738B" w:rsidRDefault="003F738B">
      <w:pPr>
        <w:pStyle w:val="Standard"/>
        <w:spacing w:after="57"/>
        <w:ind w:left="1080" w:right="567"/>
        <w:jc w:val="both"/>
        <w:rPr>
          <w:sz w:val="24"/>
          <w:szCs w:val="24"/>
        </w:rPr>
      </w:pPr>
    </w:p>
    <w:p w:rsidR="003F738B" w:rsidRDefault="003B1AEA" w:rsidP="00D62A08">
      <w:pPr>
        <w:pStyle w:val="Standard"/>
        <w:spacing w:after="57"/>
        <w:jc w:val="both"/>
        <w:rPr>
          <w:sz w:val="24"/>
          <w:szCs w:val="24"/>
        </w:rPr>
      </w:pPr>
      <w:r>
        <w:rPr>
          <w:sz w:val="24"/>
          <w:szCs w:val="24"/>
        </w:rPr>
        <w:t>Sur son périmètre d’intervention</w:t>
      </w:r>
      <w:r w:rsidR="00D62A08">
        <w:rPr>
          <w:sz w:val="24"/>
          <w:szCs w:val="24"/>
        </w:rPr>
        <w:t>,</w:t>
      </w:r>
      <w:r>
        <w:rPr>
          <w:sz w:val="24"/>
          <w:szCs w:val="24"/>
        </w:rPr>
        <w:t xml:space="preserve"> l’APPEM</w:t>
      </w:r>
    </w:p>
    <w:p w:rsidR="003F738B" w:rsidRDefault="003B1AEA" w:rsidP="00D62A08">
      <w:pPr>
        <w:pStyle w:val="Standard"/>
        <w:widowControl w:val="0"/>
        <w:numPr>
          <w:ilvl w:val="0"/>
          <w:numId w:val="4"/>
        </w:numPr>
        <w:tabs>
          <w:tab w:val="clear" w:pos="708"/>
          <w:tab w:val="left" w:pos="675"/>
        </w:tabs>
        <w:spacing w:after="57" w:line="240" w:lineRule="auto"/>
        <w:ind w:left="390" w:hanging="315"/>
        <w:jc w:val="both"/>
        <w:rPr>
          <w:sz w:val="24"/>
          <w:szCs w:val="24"/>
        </w:rPr>
      </w:pPr>
      <w:r>
        <w:rPr>
          <w:sz w:val="24"/>
          <w:szCs w:val="24"/>
        </w:rPr>
        <w:t>approuve l'exploitatio</w:t>
      </w:r>
      <w:r w:rsidR="00D62A08">
        <w:rPr>
          <w:sz w:val="24"/>
          <w:szCs w:val="24"/>
        </w:rPr>
        <w:t>n de l'énergie hydro-électrique ;</w:t>
      </w:r>
    </w:p>
    <w:p w:rsidR="003F738B" w:rsidRDefault="003B1AEA" w:rsidP="00D62A08">
      <w:pPr>
        <w:pStyle w:val="Standard"/>
        <w:widowControl w:val="0"/>
        <w:numPr>
          <w:ilvl w:val="0"/>
          <w:numId w:val="4"/>
        </w:numPr>
        <w:tabs>
          <w:tab w:val="clear" w:pos="708"/>
          <w:tab w:val="left" w:pos="675"/>
        </w:tabs>
        <w:spacing w:after="57" w:line="240" w:lineRule="auto"/>
        <w:ind w:left="390" w:hanging="315"/>
        <w:jc w:val="both"/>
        <w:rPr>
          <w:sz w:val="24"/>
          <w:szCs w:val="24"/>
        </w:rPr>
      </w:pPr>
      <w:r>
        <w:rPr>
          <w:sz w:val="24"/>
          <w:szCs w:val="24"/>
        </w:rPr>
        <w:t>s'oppose à l'imp</w:t>
      </w:r>
      <w:r w:rsidR="00D62A08">
        <w:rPr>
          <w:sz w:val="24"/>
          <w:szCs w:val="24"/>
        </w:rPr>
        <w:t>lantation de l'énergie éolienne ;</w:t>
      </w:r>
    </w:p>
    <w:p w:rsidR="003F738B" w:rsidRDefault="003B1AEA" w:rsidP="00D62A08">
      <w:pPr>
        <w:pStyle w:val="Standard"/>
        <w:widowControl w:val="0"/>
        <w:numPr>
          <w:ilvl w:val="0"/>
          <w:numId w:val="4"/>
        </w:numPr>
        <w:tabs>
          <w:tab w:val="clear" w:pos="708"/>
          <w:tab w:val="left" w:pos="675"/>
        </w:tabs>
        <w:spacing w:after="57" w:line="240" w:lineRule="auto"/>
        <w:ind w:left="390" w:hanging="315"/>
        <w:jc w:val="both"/>
        <w:rPr>
          <w:sz w:val="24"/>
          <w:szCs w:val="24"/>
        </w:rPr>
      </w:pPr>
      <w:r>
        <w:rPr>
          <w:sz w:val="24"/>
          <w:szCs w:val="24"/>
        </w:rPr>
        <w:t xml:space="preserve">considère possible </w:t>
      </w:r>
      <w:r>
        <w:rPr>
          <w:color w:val="auto"/>
          <w:sz w:val="24"/>
          <w:szCs w:val="24"/>
        </w:rPr>
        <w:t>et souhaitable</w:t>
      </w:r>
      <w:r>
        <w:rPr>
          <w:sz w:val="24"/>
          <w:szCs w:val="24"/>
        </w:rPr>
        <w:t xml:space="preserve"> le déploiemen</w:t>
      </w:r>
      <w:r w:rsidR="00D62A08">
        <w:rPr>
          <w:sz w:val="24"/>
          <w:szCs w:val="24"/>
        </w:rPr>
        <w:t>t d'énergies renouvelables sur deux</w:t>
      </w:r>
      <w:r>
        <w:rPr>
          <w:sz w:val="24"/>
          <w:szCs w:val="24"/>
        </w:rPr>
        <w:t xml:space="preserve"> autres filières :</w:t>
      </w:r>
    </w:p>
    <w:p w:rsidR="003F738B" w:rsidRDefault="003B1AEA" w:rsidP="00D62A08">
      <w:pPr>
        <w:pStyle w:val="Standard"/>
        <w:widowControl w:val="0"/>
        <w:numPr>
          <w:ilvl w:val="0"/>
          <w:numId w:val="8"/>
        </w:numPr>
        <w:tabs>
          <w:tab w:val="clear" w:pos="708"/>
        </w:tabs>
        <w:spacing w:after="57" w:line="240" w:lineRule="auto"/>
        <w:ind w:left="720" w:hanging="360"/>
        <w:jc w:val="both"/>
        <w:rPr>
          <w:sz w:val="24"/>
          <w:szCs w:val="24"/>
        </w:rPr>
      </w:pPr>
      <w:r>
        <w:rPr>
          <w:sz w:val="24"/>
          <w:szCs w:val="24"/>
        </w:rPr>
        <w:t>la filière de production du  bois-</w:t>
      </w:r>
      <w:r w:rsidR="00D62A08">
        <w:rPr>
          <w:sz w:val="24"/>
          <w:szCs w:val="24"/>
        </w:rPr>
        <w:t>énergie ;</w:t>
      </w:r>
      <w:r>
        <w:rPr>
          <w:sz w:val="24"/>
          <w:szCs w:val="24"/>
        </w:rPr>
        <w:t xml:space="preserve"> </w:t>
      </w:r>
      <w:r>
        <w:rPr>
          <w:color w:val="1F1F1F"/>
          <w:sz w:val="24"/>
          <w:szCs w:val="24"/>
        </w:rPr>
        <w:t> cette filière inclut la totalité de la chaîne de la transformation du bois, depuis la sylviculture, l'agroforesterie  jusqu’à la consommation finale. Le département de la Haute-Loire dispose dans ces domaines d'un savoir-faire déjà reconnu</w:t>
      </w:r>
      <w:r>
        <w:rPr>
          <w:rStyle w:val="Appelnotedebasdep1"/>
          <w:color w:val="1F1F1F"/>
          <w:sz w:val="24"/>
          <w:szCs w:val="24"/>
        </w:rPr>
        <w:footnoteReference w:id="10"/>
      </w:r>
      <w:r>
        <w:rPr>
          <w:color w:val="1F1F1F"/>
          <w:sz w:val="24"/>
          <w:szCs w:val="24"/>
        </w:rPr>
        <w:t xml:space="preserve">  à développer</w:t>
      </w:r>
      <w:r w:rsidR="00D62A08">
        <w:rPr>
          <w:color w:val="1F1F1F"/>
          <w:sz w:val="24"/>
          <w:szCs w:val="24"/>
        </w:rPr>
        <w:t> ;</w:t>
      </w:r>
    </w:p>
    <w:p w:rsidR="003F738B" w:rsidRDefault="003B1AEA" w:rsidP="00D62A08">
      <w:pPr>
        <w:pStyle w:val="Standard"/>
        <w:widowControl w:val="0"/>
        <w:numPr>
          <w:ilvl w:val="0"/>
          <w:numId w:val="8"/>
        </w:numPr>
        <w:tabs>
          <w:tab w:val="clear" w:pos="708"/>
        </w:tabs>
        <w:spacing w:after="57" w:line="240" w:lineRule="auto"/>
        <w:ind w:left="720" w:hanging="360"/>
        <w:jc w:val="both"/>
        <w:rPr>
          <w:sz w:val="24"/>
          <w:szCs w:val="24"/>
        </w:rPr>
      </w:pPr>
      <w:r>
        <w:rPr>
          <w:sz w:val="24"/>
          <w:szCs w:val="24"/>
        </w:rPr>
        <w:t>l</w:t>
      </w:r>
      <w:r>
        <w:rPr>
          <w:color w:val="auto"/>
          <w:sz w:val="24"/>
          <w:szCs w:val="24"/>
        </w:rPr>
        <w:t xml:space="preserve">a filière de production de biogaz dans les fermes d’élevage de bétail </w:t>
      </w:r>
      <w:r>
        <w:rPr>
          <w:sz w:val="24"/>
          <w:szCs w:val="24"/>
        </w:rPr>
        <w:t>à partir d'intrants agricoles, sur les t</w:t>
      </w:r>
      <w:r w:rsidR="00D62A08">
        <w:rPr>
          <w:sz w:val="24"/>
          <w:szCs w:val="24"/>
        </w:rPr>
        <w:t>erres agricoles déjà exploitées</w:t>
      </w:r>
      <w:r>
        <w:rPr>
          <w:sz w:val="24"/>
          <w:szCs w:val="24"/>
        </w:rPr>
        <w:t xml:space="preserve"> et avec mise en œuvre d'un projet architectural conforme aux règles du bâti local défini</w:t>
      </w:r>
      <w:r w:rsidR="002558F8">
        <w:rPr>
          <w:sz w:val="24"/>
          <w:szCs w:val="24"/>
        </w:rPr>
        <w:t>es</w:t>
      </w:r>
      <w:bookmarkStart w:id="0" w:name="_GoBack"/>
      <w:bookmarkEnd w:id="0"/>
      <w:r>
        <w:rPr>
          <w:sz w:val="24"/>
          <w:szCs w:val="24"/>
        </w:rPr>
        <w:t xml:space="preserve"> par le CAUE et l'architecte des bâtiments de France.</w:t>
      </w:r>
    </w:p>
    <w:p w:rsidR="003F738B" w:rsidRDefault="003F738B">
      <w:pPr>
        <w:pStyle w:val="Corpsdetexte3"/>
        <w:ind w:right="567"/>
        <w:jc w:val="both"/>
        <w:rPr>
          <w:rFonts w:ascii="Calibri" w:eastAsia="Calibri" w:hAnsi="Calibri" w:cs="Calibri"/>
          <w:b/>
          <w:bCs/>
          <w:sz w:val="24"/>
          <w:szCs w:val="24"/>
        </w:rPr>
      </w:pPr>
    </w:p>
    <w:sectPr w:rsidR="003F738B" w:rsidSect="006376C6">
      <w:footerReference w:type="default" r:id="rId14"/>
      <w:endnotePr>
        <w:numFmt w:val="decimal"/>
      </w:endnotePr>
      <w:pgSz w:w="11906" w:h="16838"/>
      <w:pgMar w:top="720" w:right="849" w:bottom="720" w:left="1418" w:header="720"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D2B" w:rsidRDefault="00006D2B" w:rsidP="003F738B">
      <w:pPr>
        <w:spacing w:after="0" w:line="240" w:lineRule="auto"/>
      </w:pPr>
      <w:r>
        <w:separator/>
      </w:r>
    </w:p>
  </w:endnote>
  <w:endnote w:type="continuationSeparator" w:id="0">
    <w:p w:rsidR="00006D2B" w:rsidRDefault="00006D2B" w:rsidP="003F7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Arial"/>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00"/>
    <w:family w:val="roman"/>
    <w:pitch w:val="default"/>
  </w:font>
  <w:font w:name="Droid Sans">
    <w:charset w:val="00"/>
    <w:family w:val="swiss"/>
    <w:pitch w:val="default"/>
  </w:font>
  <w:font w:name="Lohit Hindi">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38B" w:rsidRDefault="009E5C7C">
    <w:pPr>
      <w:pStyle w:val="Pieddepage1"/>
      <w:jc w:val="center"/>
    </w:pPr>
    <w:r>
      <w:fldChar w:fldCharType="begin"/>
    </w:r>
    <w:r w:rsidR="003B1AEA">
      <w:instrText xml:space="preserve"> PAGE </w:instrText>
    </w:r>
    <w:r>
      <w:fldChar w:fldCharType="separate"/>
    </w:r>
    <w:r w:rsidR="002558F8">
      <w:rPr>
        <w:noProof/>
      </w:rPr>
      <w:t>12</w:t>
    </w:r>
    <w:r>
      <w:fldChar w:fldCharType="end"/>
    </w:r>
    <w:r w:rsidR="003B1AEA">
      <w:t>/12</w:t>
    </w:r>
  </w:p>
  <w:p w:rsidR="003F738B" w:rsidRDefault="003F738B">
    <w:pPr>
      <w:pStyle w:val="Pieddepage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D2B" w:rsidRDefault="00006D2B" w:rsidP="003F738B">
      <w:pPr>
        <w:spacing w:after="0" w:line="240" w:lineRule="auto"/>
      </w:pPr>
      <w:r>
        <w:separator/>
      </w:r>
    </w:p>
  </w:footnote>
  <w:footnote w:type="continuationSeparator" w:id="0">
    <w:p w:rsidR="00006D2B" w:rsidRDefault="00006D2B" w:rsidP="003F738B">
      <w:pPr>
        <w:spacing w:after="0" w:line="240" w:lineRule="auto"/>
      </w:pPr>
      <w:r>
        <w:continuationSeparator/>
      </w:r>
    </w:p>
  </w:footnote>
  <w:footnote w:id="1">
    <w:p w:rsidR="003F738B" w:rsidRDefault="003B1AEA">
      <w:pPr>
        <w:pStyle w:val="Footnote"/>
      </w:pPr>
      <w:r>
        <w:rPr>
          <w:rStyle w:val="Appelnotedebasdep1"/>
        </w:rPr>
        <w:footnoteRef/>
      </w:r>
      <w:r w:rsidR="006376C6">
        <w:t xml:space="preserve"> </w:t>
      </w:r>
      <w:r>
        <w:t>SRCE Auvergne – résumé non technique du schéma régional de cohérence écologique- 7 juillet 2015</w:t>
      </w:r>
    </w:p>
  </w:footnote>
  <w:footnote w:id="2">
    <w:p w:rsidR="003F738B" w:rsidRDefault="003B1AEA">
      <w:pPr>
        <w:pStyle w:val="Notedebasdepage1"/>
      </w:pPr>
      <w:r>
        <w:rPr>
          <w:rStyle w:val="Caractresdenotedebasdepage"/>
        </w:rPr>
        <w:footnoteRef/>
      </w:r>
      <w:r>
        <w:rPr>
          <w:sz w:val="18"/>
          <w:szCs w:val="18"/>
        </w:rPr>
        <w:tab/>
        <w:t xml:space="preserve">Lire à ce sujet l'Atlas des paysages d'Auvergne, Outil pratique d'exploration des territoires d'Auvergne, Collectif du Chomet – DREAL Auvergne, 2014 : </w:t>
      </w:r>
      <w:hyperlink r:id="rId1" w:history="1">
        <w:r>
          <w:rPr>
            <w:rStyle w:val="Lienhypertexte"/>
            <w:sz w:val="18"/>
            <w:szCs w:val="18"/>
          </w:rPr>
          <w:t>http://www.paysages.auvergne.gouv.fr/1-09-mezenc-a477.html</w:t>
        </w:r>
      </w:hyperlink>
      <w:r>
        <w:rPr>
          <w:sz w:val="18"/>
          <w:szCs w:val="18"/>
        </w:rPr>
        <w:t xml:space="preserve"> et consulter la cartographie :</w:t>
      </w:r>
      <w:hyperlink r:id="rId2" w:history="1">
        <w:r>
          <w:rPr>
            <w:rStyle w:val="Lienhypertexte"/>
            <w:sz w:val="18"/>
            <w:szCs w:val="18"/>
          </w:rPr>
          <w:t>http://www.paysages.auvergne.gouv.fr/cartes-departementales-des-paysages-a587.html</w:t>
        </w:r>
      </w:hyperlink>
    </w:p>
  </w:footnote>
  <w:footnote w:id="3">
    <w:p w:rsidR="003F738B" w:rsidRDefault="003B1AEA">
      <w:pPr>
        <w:pStyle w:val="Notedebasdepage1"/>
        <w:rPr>
          <w:rStyle w:val="lev"/>
          <w:b w:val="0"/>
          <w:bCs w:val="0"/>
          <w:color w:val="1B1B1B"/>
          <w:sz w:val="18"/>
          <w:szCs w:val="18"/>
        </w:rPr>
      </w:pPr>
      <w:r>
        <w:rPr>
          <w:rStyle w:val="Caractresdenotedebasdepage"/>
          <w:color w:val="1B1B1B"/>
          <w:sz w:val="18"/>
          <w:szCs w:val="18"/>
        </w:rPr>
        <w:footnoteRef/>
      </w:r>
      <w:r>
        <w:rPr>
          <w:sz w:val="18"/>
          <w:szCs w:val="18"/>
        </w:rPr>
        <w:tab/>
        <w:t xml:space="preserve">PNR des Monts d'Ardèche, </w:t>
      </w:r>
      <w:r>
        <w:rPr>
          <w:i/>
          <w:iCs/>
          <w:sz w:val="18"/>
          <w:szCs w:val="18"/>
        </w:rPr>
        <w:t>Guide du développement éolien des Monts d'Ardèche</w:t>
      </w:r>
      <w:r>
        <w:rPr>
          <w:sz w:val="18"/>
          <w:szCs w:val="18"/>
        </w:rPr>
        <w:t xml:space="preserve">, </w:t>
      </w:r>
      <w:r>
        <w:rPr>
          <w:rStyle w:val="lev"/>
          <w:b w:val="0"/>
          <w:bCs w:val="0"/>
          <w:color w:val="1B1B1B"/>
          <w:sz w:val="18"/>
          <w:szCs w:val="18"/>
        </w:rPr>
        <w:t>Annexe 10 à la Charter II</w:t>
      </w:r>
    </w:p>
  </w:footnote>
  <w:footnote w:id="4">
    <w:p w:rsidR="003F738B" w:rsidRDefault="003B1AEA">
      <w:pPr>
        <w:pStyle w:val="Notedebasdepage1"/>
      </w:pPr>
      <w:r>
        <w:rPr>
          <w:rStyle w:val="Caractresdenotedebasdepage"/>
        </w:rPr>
        <w:footnoteRef/>
      </w:r>
      <w:r>
        <w:rPr>
          <w:sz w:val="18"/>
          <w:szCs w:val="18"/>
        </w:rPr>
        <w:tab/>
        <w:t xml:space="preserve">DREAL Rhône-Alpes, </w:t>
      </w:r>
      <w:r>
        <w:rPr>
          <w:i/>
          <w:iCs/>
          <w:sz w:val="18"/>
          <w:szCs w:val="18"/>
        </w:rPr>
        <w:t>Schéma régional éolien</w:t>
      </w:r>
      <w:r>
        <w:rPr>
          <w:sz w:val="18"/>
          <w:szCs w:val="18"/>
        </w:rPr>
        <w:t>, 2012, p. 53</w:t>
      </w:r>
    </w:p>
  </w:footnote>
  <w:footnote w:id="5">
    <w:p w:rsidR="003F738B" w:rsidRDefault="003B1AEA">
      <w:pPr>
        <w:pStyle w:val="Notedebasdepage1"/>
      </w:pPr>
      <w:r>
        <w:rPr>
          <w:rStyle w:val="Caractresdenotedebasdepage"/>
        </w:rPr>
        <w:footnoteRef/>
      </w:r>
      <w:r>
        <w:rPr>
          <w:sz w:val="18"/>
          <w:szCs w:val="18"/>
        </w:rPr>
        <w:tab/>
        <w:t xml:space="preserve">DREAL Auvergne, </w:t>
      </w:r>
      <w:r>
        <w:rPr>
          <w:i/>
          <w:iCs/>
          <w:sz w:val="18"/>
          <w:szCs w:val="18"/>
        </w:rPr>
        <w:t>SRCAE de l'Auvergne</w:t>
      </w:r>
      <w:r>
        <w:rPr>
          <w:sz w:val="18"/>
          <w:szCs w:val="18"/>
        </w:rPr>
        <w:t>, 2014, p.19</w:t>
      </w:r>
    </w:p>
  </w:footnote>
  <w:footnote w:id="6">
    <w:p w:rsidR="003F738B" w:rsidRDefault="003B1AEA">
      <w:pPr>
        <w:pStyle w:val="Notedebasdepage1"/>
      </w:pPr>
      <w:r>
        <w:rPr>
          <w:rStyle w:val="Caractresdenotedebasdepage"/>
        </w:rPr>
        <w:footnoteRef/>
      </w:r>
      <w:r>
        <w:rPr>
          <w:sz w:val="18"/>
          <w:szCs w:val="18"/>
        </w:rPr>
        <w:tab/>
        <w:t xml:space="preserve">Cyrille MARLIN, </w:t>
      </w:r>
      <w:r>
        <w:rPr>
          <w:i/>
          <w:iCs/>
          <w:sz w:val="18"/>
          <w:szCs w:val="18"/>
        </w:rPr>
        <w:t>Cahier de gestion du site classé du Mézenc</w:t>
      </w:r>
      <w:r>
        <w:rPr>
          <w:sz w:val="18"/>
          <w:szCs w:val="18"/>
        </w:rPr>
        <w:t>, DIREN Auvergne, 2009</w:t>
      </w:r>
    </w:p>
  </w:footnote>
  <w:footnote w:id="7">
    <w:p w:rsidR="003F738B" w:rsidRDefault="003B1AEA">
      <w:pPr>
        <w:pStyle w:val="Notedebasdepage1"/>
        <w:tabs>
          <w:tab w:val="left" w:pos="360"/>
        </w:tabs>
      </w:pPr>
      <w:r>
        <w:rPr>
          <w:rStyle w:val="Appelnotedebasdep1"/>
        </w:rPr>
        <w:footnoteRef/>
      </w:r>
      <w:r>
        <w:rPr>
          <w:sz w:val="18"/>
          <w:szCs w:val="18"/>
        </w:rPr>
        <w:tab/>
        <w:t>SCOT_RP_Tome2_ArretSCotPaysduVelay -etat initial de l’environnement.pdf page 154- disponible en ligne le 31 août 2016 cf. lettre du Préfet à la commission départementale de la nature des sites et des paysages (CDNPS)</w:t>
      </w:r>
    </w:p>
  </w:footnote>
  <w:footnote w:id="8">
    <w:p w:rsidR="003F738B" w:rsidRDefault="003B1AEA">
      <w:pPr>
        <w:pStyle w:val="Footnote"/>
        <w:tabs>
          <w:tab w:val="left" w:pos="300"/>
        </w:tabs>
        <w:ind w:left="0" w:firstLine="0"/>
      </w:pPr>
      <w:r>
        <w:rPr>
          <w:rStyle w:val="Appelnotedebasdep1"/>
        </w:rPr>
        <w:footnoteRef/>
      </w:r>
      <w:r>
        <w:tab/>
        <w:t>SCOT RP_Tome 3_Arret SCoT Pays du Velay juin2017 justifcation des choix et évaluation environnementale.</w:t>
      </w:r>
    </w:p>
  </w:footnote>
  <w:footnote w:id="9">
    <w:p w:rsidR="003F738B" w:rsidRDefault="003B1AEA">
      <w:pPr>
        <w:pStyle w:val="Footnote"/>
        <w:tabs>
          <w:tab w:val="left" w:pos="255"/>
        </w:tabs>
        <w:ind w:left="0" w:firstLine="0"/>
        <w:rPr>
          <w:color w:val="000000"/>
        </w:rPr>
      </w:pPr>
      <w:r>
        <w:rPr>
          <w:rStyle w:val="Appelnotedebasdep1"/>
        </w:rPr>
        <w:footnoteRef/>
      </w:r>
      <w:r>
        <w:rPr>
          <w:color w:val="000000"/>
        </w:rPr>
        <w:tab/>
        <w:t xml:space="preserve"> PADD - Scot du Velay, page 18</w:t>
      </w:r>
    </w:p>
  </w:footnote>
  <w:footnote w:id="10">
    <w:p w:rsidR="003F738B" w:rsidRDefault="003B1AEA">
      <w:pPr>
        <w:pStyle w:val="Footnote"/>
      </w:pPr>
      <w:r>
        <w:rPr>
          <w:rStyle w:val="Appelnotedebasdep1"/>
        </w:rPr>
        <w:footnoteRef/>
      </w:r>
      <w:r>
        <w:t>http://www.hauteloire.fr/La-collectivite-et-le-bois-energie.html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827F1"/>
    <w:multiLevelType w:val="hybridMultilevel"/>
    <w:tmpl w:val="FECEE800"/>
    <w:name w:val="Liste numérotée 3"/>
    <w:lvl w:ilvl="0" w:tplc="FA6EF6BC">
      <w:start w:val="1"/>
      <w:numFmt w:val="upperRoman"/>
      <w:lvlText w:val="%1-"/>
      <w:lvlJc w:val="left"/>
      <w:pPr>
        <w:ind w:left="360" w:firstLine="0"/>
      </w:pPr>
    </w:lvl>
    <w:lvl w:ilvl="1" w:tplc="23ACD7B0">
      <w:start w:val="1"/>
      <w:numFmt w:val="lowerLetter"/>
      <w:lvlText w:val="%2."/>
      <w:lvlJc w:val="left"/>
      <w:pPr>
        <w:ind w:left="1080" w:firstLine="0"/>
      </w:pPr>
    </w:lvl>
    <w:lvl w:ilvl="2" w:tplc="16F4FDF4">
      <w:start w:val="1"/>
      <w:numFmt w:val="lowerRoman"/>
      <w:lvlText w:val="%3."/>
      <w:lvlJc w:val="left"/>
      <w:pPr>
        <w:ind w:left="1980" w:firstLine="0"/>
      </w:pPr>
    </w:lvl>
    <w:lvl w:ilvl="3" w:tplc="29DE7E94">
      <w:start w:val="1"/>
      <w:numFmt w:val="decimal"/>
      <w:lvlText w:val="%4."/>
      <w:lvlJc w:val="left"/>
      <w:pPr>
        <w:ind w:left="2520" w:firstLine="0"/>
      </w:pPr>
    </w:lvl>
    <w:lvl w:ilvl="4" w:tplc="662C272A">
      <w:start w:val="1"/>
      <w:numFmt w:val="lowerLetter"/>
      <w:lvlText w:val="%5."/>
      <w:lvlJc w:val="left"/>
      <w:pPr>
        <w:ind w:left="3240" w:firstLine="0"/>
      </w:pPr>
    </w:lvl>
    <w:lvl w:ilvl="5" w:tplc="0010A890">
      <w:start w:val="1"/>
      <w:numFmt w:val="lowerRoman"/>
      <w:lvlText w:val="%6."/>
      <w:lvlJc w:val="left"/>
      <w:pPr>
        <w:ind w:left="4140" w:firstLine="0"/>
      </w:pPr>
    </w:lvl>
    <w:lvl w:ilvl="6" w:tplc="16A64972">
      <w:start w:val="1"/>
      <w:numFmt w:val="decimal"/>
      <w:lvlText w:val="%7."/>
      <w:lvlJc w:val="left"/>
      <w:pPr>
        <w:ind w:left="4680" w:firstLine="0"/>
      </w:pPr>
    </w:lvl>
    <w:lvl w:ilvl="7" w:tplc="30C8D1C6">
      <w:start w:val="1"/>
      <w:numFmt w:val="lowerLetter"/>
      <w:lvlText w:val="%8."/>
      <w:lvlJc w:val="left"/>
      <w:pPr>
        <w:ind w:left="5400" w:firstLine="0"/>
      </w:pPr>
    </w:lvl>
    <w:lvl w:ilvl="8" w:tplc="38961AEC">
      <w:start w:val="1"/>
      <w:numFmt w:val="lowerRoman"/>
      <w:lvlText w:val="%9."/>
      <w:lvlJc w:val="left"/>
      <w:pPr>
        <w:ind w:left="6300" w:firstLine="0"/>
      </w:pPr>
    </w:lvl>
  </w:abstractNum>
  <w:abstractNum w:abstractNumId="1" w15:restartNumberingAfterBreak="0">
    <w:nsid w:val="07B02369"/>
    <w:multiLevelType w:val="singleLevel"/>
    <w:tmpl w:val="7DDE1B3E"/>
    <w:name w:val="Bullet 18"/>
    <w:lvl w:ilvl="0">
      <w:start w:val="1"/>
      <w:numFmt w:val="upperRoman"/>
      <w:lvlText w:val="%1"/>
      <w:lvlJc w:val="left"/>
      <w:pPr>
        <w:tabs>
          <w:tab w:val="num" w:pos="0"/>
        </w:tabs>
        <w:ind w:left="0" w:firstLine="0"/>
      </w:pPr>
    </w:lvl>
  </w:abstractNum>
  <w:abstractNum w:abstractNumId="2" w15:restartNumberingAfterBreak="0">
    <w:nsid w:val="1BF53FCA"/>
    <w:multiLevelType w:val="hybridMultilevel"/>
    <w:tmpl w:val="BE7C42BA"/>
    <w:name w:val="Liste numérotée 4"/>
    <w:lvl w:ilvl="0" w:tplc="3B908E3A">
      <w:numFmt w:val="bullet"/>
      <w:lvlText w:val="–"/>
      <w:lvlJc w:val="left"/>
      <w:pPr>
        <w:ind w:left="360" w:firstLine="0"/>
      </w:pPr>
      <w:rPr>
        <w:rFonts w:ascii="OpenSymbol" w:eastAsia="OpenSymbol" w:hAnsi="OpenSymbol" w:cs="OpenSymbol"/>
      </w:rPr>
    </w:lvl>
    <w:lvl w:ilvl="1" w:tplc="B1F8E842">
      <w:numFmt w:val="bullet"/>
      <w:lvlText w:val="–"/>
      <w:lvlJc w:val="left"/>
      <w:pPr>
        <w:ind w:left="720" w:firstLine="0"/>
      </w:pPr>
      <w:rPr>
        <w:rFonts w:ascii="OpenSymbol" w:eastAsia="OpenSymbol" w:hAnsi="OpenSymbol" w:cs="OpenSymbol"/>
      </w:rPr>
    </w:lvl>
    <w:lvl w:ilvl="2" w:tplc="CC28ACD6">
      <w:numFmt w:val="bullet"/>
      <w:lvlText w:val="–"/>
      <w:lvlJc w:val="left"/>
      <w:pPr>
        <w:ind w:left="1080" w:firstLine="0"/>
      </w:pPr>
      <w:rPr>
        <w:rFonts w:ascii="OpenSymbol" w:eastAsia="OpenSymbol" w:hAnsi="OpenSymbol" w:cs="OpenSymbol"/>
      </w:rPr>
    </w:lvl>
    <w:lvl w:ilvl="3" w:tplc="18387A30">
      <w:numFmt w:val="bullet"/>
      <w:lvlText w:val="–"/>
      <w:lvlJc w:val="left"/>
      <w:pPr>
        <w:ind w:left="1440" w:firstLine="0"/>
      </w:pPr>
      <w:rPr>
        <w:rFonts w:ascii="OpenSymbol" w:eastAsia="OpenSymbol" w:hAnsi="OpenSymbol" w:cs="OpenSymbol"/>
      </w:rPr>
    </w:lvl>
    <w:lvl w:ilvl="4" w:tplc="E722956E">
      <w:numFmt w:val="bullet"/>
      <w:lvlText w:val="–"/>
      <w:lvlJc w:val="left"/>
      <w:pPr>
        <w:ind w:left="1800" w:firstLine="0"/>
      </w:pPr>
      <w:rPr>
        <w:rFonts w:ascii="OpenSymbol" w:eastAsia="OpenSymbol" w:hAnsi="OpenSymbol" w:cs="OpenSymbol"/>
      </w:rPr>
    </w:lvl>
    <w:lvl w:ilvl="5" w:tplc="208E2F1A">
      <w:numFmt w:val="bullet"/>
      <w:lvlText w:val="–"/>
      <w:lvlJc w:val="left"/>
      <w:pPr>
        <w:ind w:left="2160" w:firstLine="0"/>
      </w:pPr>
      <w:rPr>
        <w:rFonts w:ascii="OpenSymbol" w:eastAsia="OpenSymbol" w:hAnsi="OpenSymbol" w:cs="OpenSymbol"/>
      </w:rPr>
    </w:lvl>
    <w:lvl w:ilvl="6" w:tplc="80E6853E">
      <w:numFmt w:val="bullet"/>
      <w:lvlText w:val="–"/>
      <w:lvlJc w:val="left"/>
      <w:pPr>
        <w:ind w:left="2520" w:firstLine="0"/>
      </w:pPr>
      <w:rPr>
        <w:rFonts w:ascii="OpenSymbol" w:eastAsia="OpenSymbol" w:hAnsi="OpenSymbol" w:cs="OpenSymbol"/>
      </w:rPr>
    </w:lvl>
    <w:lvl w:ilvl="7" w:tplc="057A8430">
      <w:numFmt w:val="bullet"/>
      <w:lvlText w:val="–"/>
      <w:lvlJc w:val="left"/>
      <w:pPr>
        <w:ind w:left="2880" w:firstLine="0"/>
      </w:pPr>
      <w:rPr>
        <w:rFonts w:ascii="OpenSymbol" w:eastAsia="OpenSymbol" w:hAnsi="OpenSymbol" w:cs="OpenSymbol"/>
      </w:rPr>
    </w:lvl>
    <w:lvl w:ilvl="8" w:tplc="CE36ACB8">
      <w:numFmt w:val="bullet"/>
      <w:lvlText w:val="–"/>
      <w:lvlJc w:val="left"/>
      <w:pPr>
        <w:ind w:left="3240" w:firstLine="0"/>
      </w:pPr>
      <w:rPr>
        <w:rFonts w:ascii="OpenSymbol" w:eastAsia="OpenSymbol" w:hAnsi="OpenSymbol" w:cs="OpenSymbol"/>
      </w:rPr>
    </w:lvl>
  </w:abstractNum>
  <w:abstractNum w:abstractNumId="3" w15:restartNumberingAfterBreak="0">
    <w:nsid w:val="20353747"/>
    <w:multiLevelType w:val="hybridMultilevel"/>
    <w:tmpl w:val="C91CD666"/>
    <w:name w:val="Liste numérotée 10"/>
    <w:lvl w:ilvl="0" w:tplc="7D9C4658">
      <w:numFmt w:val="bullet"/>
      <w:lvlText w:val="-"/>
      <w:lvlJc w:val="left"/>
      <w:pPr>
        <w:ind w:left="705" w:firstLine="0"/>
      </w:pPr>
      <w:rPr>
        <w:rFonts w:ascii="Calibri" w:eastAsia="Arial Unicode MS" w:hAnsi="Calibri" w:cs="Calibri"/>
      </w:rPr>
    </w:lvl>
    <w:lvl w:ilvl="1" w:tplc="1C1A73CA">
      <w:numFmt w:val="bullet"/>
      <w:lvlText w:val="o"/>
      <w:lvlJc w:val="left"/>
      <w:pPr>
        <w:ind w:left="1425" w:firstLine="0"/>
      </w:pPr>
      <w:rPr>
        <w:rFonts w:ascii="Courier New" w:hAnsi="Courier New" w:cs="Courier New"/>
      </w:rPr>
    </w:lvl>
    <w:lvl w:ilvl="2" w:tplc="943E7B42">
      <w:numFmt w:val="bullet"/>
      <w:lvlText w:val=""/>
      <w:lvlJc w:val="left"/>
      <w:pPr>
        <w:ind w:left="2145" w:firstLine="0"/>
      </w:pPr>
      <w:rPr>
        <w:rFonts w:ascii="Wingdings" w:eastAsia="Wingdings" w:hAnsi="Wingdings" w:cs="Wingdings"/>
      </w:rPr>
    </w:lvl>
    <w:lvl w:ilvl="3" w:tplc="00260D66">
      <w:numFmt w:val="bullet"/>
      <w:lvlText w:val=""/>
      <w:lvlJc w:val="left"/>
      <w:pPr>
        <w:ind w:left="2865" w:firstLine="0"/>
      </w:pPr>
      <w:rPr>
        <w:rFonts w:ascii="Symbol" w:hAnsi="Symbol"/>
      </w:rPr>
    </w:lvl>
    <w:lvl w:ilvl="4" w:tplc="79A0658E">
      <w:numFmt w:val="bullet"/>
      <w:lvlText w:val="o"/>
      <w:lvlJc w:val="left"/>
      <w:pPr>
        <w:ind w:left="3585" w:firstLine="0"/>
      </w:pPr>
      <w:rPr>
        <w:rFonts w:ascii="Courier New" w:hAnsi="Courier New" w:cs="Courier New"/>
      </w:rPr>
    </w:lvl>
    <w:lvl w:ilvl="5" w:tplc="687A8E3A">
      <w:numFmt w:val="bullet"/>
      <w:lvlText w:val=""/>
      <w:lvlJc w:val="left"/>
      <w:pPr>
        <w:ind w:left="4305" w:firstLine="0"/>
      </w:pPr>
      <w:rPr>
        <w:rFonts w:ascii="Wingdings" w:eastAsia="Wingdings" w:hAnsi="Wingdings" w:cs="Wingdings"/>
      </w:rPr>
    </w:lvl>
    <w:lvl w:ilvl="6" w:tplc="E1AC47D2">
      <w:numFmt w:val="bullet"/>
      <w:lvlText w:val=""/>
      <w:lvlJc w:val="left"/>
      <w:pPr>
        <w:ind w:left="5025" w:firstLine="0"/>
      </w:pPr>
      <w:rPr>
        <w:rFonts w:ascii="Symbol" w:hAnsi="Symbol"/>
      </w:rPr>
    </w:lvl>
    <w:lvl w:ilvl="7" w:tplc="9CA286E0">
      <w:numFmt w:val="bullet"/>
      <w:lvlText w:val="o"/>
      <w:lvlJc w:val="left"/>
      <w:pPr>
        <w:ind w:left="5745" w:firstLine="0"/>
      </w:pPr>
      <w:rPr>
        <w:rFonts w:ascii="Courier New" w:hAnsi="Courier New" w:cs="Courier New"/>
      </w:rPr>
    </w:lvl>
    <w:lvl w:ilvl="8" w:tplc="9E861C16">
      <w:numFmt w:val="bullet"/>
      <w:lvlText w:val=""/>
      <w:lvlJc w:val="left"/>
      <w:pPr>
        <w:ind w:left="6465" w:firstLine="0"/>
      </w:pPr>
      <w:rPr>
        <w:rFonts w:ascii="Wingdings" w:eastAsia="Wingdings" w:hAnsi="Wingdings" w:cs="Wingdings"/>
      </w:rPr>
    </w:lvl>
  </w:abstractNum>
  <w:abstractNum w:abstractNumId="4" w15:restartNumberingAfterBreak="0">
    <w:nsid w:val="267C18CE"/>
    <w:multiLevelType w:val="hybridMultilevel"/>
    <w:tmpl w:val="7C6225D0"/>
    <w:name w:val="Liste numérotée 7"/>
    <w:lvl w:ilvl="0" w:tplc="F3ACB53C">
      <w:numFmt w:val="bullet"/>
      <w:lvlText w:val="–"/>
      <w:lvlJc w:val="left"/>
      <w:pPr>
        <w:ind w:left="360" w:firstLine="0"/>
      </w:pPr>
      <w:rPr>
        <w:rFonts w:ascii="OpenSymbol" w:eastAsia="OpenSymbol" w:hAnsi="OpenSymbol" w:cs="OpenSymbol"/>
      </w:rPr>
    </w:lvl>
    <w:lvl w:ilvl="1" w:tplc="5C8A9B3E">
      <w:numFmt w:val="bullet"/>
      <w:lvlText w:val="–"/>
      <w:lvlJc w:val="left"/>
      <w:pPr>
        <w:ind w:left="720" w:firstLine="0"/>
      </w:pPr>
      <w:rPr>
        <w:rFonts w:ascii="OpenSymbol" w:eastAsia="OpenSymbol" w:hAnsi="OpenSymbol" w:cs="OpenSymbol"/>
      </w:rPr>
    </w:lvl>
    <w:lvl w:ilvl="2" w:tplc="25AC8262">
      <w:numFmt w:val="bullet"/>
      <w:lvlText w:val="–"/>
      <w:lvlJc w:val="left"/>
      <w:pPr>
        <w:ind w:left="1080" w:firstLine="0"/>
      </w:pPr>
      <w:rPr>
        <w:rFonts w:ascii="OpenSymbol" w:eastAsia="OpenSymbol" w:hAnsi="OpenSymbol" w:cs="OpenSymbol"/>
      </w:rPr>
    </w:lvl>
    <w:lvl w:ilvl="3" w:tplc="6EEA7ECE">
      <w:numFmt w:val="bullet"/>
      <w:lvlText w:val="–"/>
      <w:lvlJc w:val="left"/>
      <w:pPr>
        <w:ind w:left="1440" w:firstLine="0"/>
      </w:pPr>
      <w:rPr>
        <w:rFonts w:ascii="OpenSymbol" w:eastAsia="OpenSymbol" w:hAnsi="OpenSymbol" w:cs="OpenSymbol"/>
      </w:rPr>
    </w:lvl>
    <w:lvl w:ilvl="4" w:tplc="2912E760">
      <w:numFmt w:val="bullet"/>
      <w:lvlText w:val="–"/>
      <w:lvlJc w:val="left"/>
      <w:pPr>
        <w:ind w:left="1800" w:firstLine="0"/>
      </w:pPr>
      <w:rPr>
        <w:rFonts w:ascii="OpenSymbol" w:eastAsia="OpenSymbol" w:hAnsi="OpenSymbol" w:cs="OpenSymbol"/>
      </w:rPr>
    </w:lvl>
    <w:lvl w:ilvl="5" w:tplc="1244F91E">
      <w:numFmt w:val="bullet"/>
      <w:lvlText w:val="–"/>
      <w:lvlJc w:val="left"/>
      <w:pPr>
        <w:ind w:left="2160" w:firstLine="0"/>
      </w:pPr>
      <w:rPr>
        <w:rFonts w:ascii="OpenSymbol" w:eastAsia="OpenSymbol" w:hAnsi="OpenSymbol" w:cs="OpenSymbol"/>
      </w:rPr>
    </w:lvl>
    <w:lvl w:ilvl="6" w:tplc="802EE4D8">
      <w:numFmt w:val="bullet"/>
      <w:lvlText w:val="–"/>
      <w:lvlJc w:val="left"/>
      <w:pPr>
        <w:ind w:left="2520" w:firstLine="0"/>
      </w:pPr>
      <w:rPr>
        <w:rFonts w:ascii="OpenSymbol" w:eastAsia="OpenSymbol" w:hAnsi="OpenSymbol" w:cs="OpenSymbol"/>
      </w:rPr>
    </w:lvl>
    <w:lvl w:ilvl="7" w:tplc="F7E0EA9C">
      <w:numFmt w:val="bullet"/>
      <w:lvlText w:val="–"/>
      <w:lvlJc w:val="left"/>
      <w:pPr>
        <w:ind w:left="2880" w:firstLine="0"/>
      </w:pPr>
      <w:rPr>
        <w:rFonts w:ascii="OpenSymbol" w:eastAsia="OpenSymbol" w:hAnsi="OpenSymbol" w:cs="OpenSymbol"/>
      </w:rPr>
    </w:lvl>
    <w:lvl w:ilvl="8" w:tplc="0912444C">
      <w:numFmt w:val="bullet"/>
      <w:lvlText w:val="–"/>
      <w:lvlJc w:val="left"/>
      <w:pPr>
        <w:ind w:left="3240" w:firstLine="0"/>
      </w:pPr>
      <w:rPr>
        <w:rFonts w:ascii="OpenSymbol" w:eastAsia="OpenSymbol" w:hAnsi="OpenSymbol" w:cs="OpenSymbol"/>
      </w:rPr>
    </w:lvl>
  </w:abstractNum>
  <w:abstractNum w:abstractNumId="5" w15:restartNumberingAfterBreak="0">
    <w:nsid w:val="29BC3951"/>
    <w:multiLevelType w:val="singleLevel"/>
    <w:tmpl w:val="17661148"/>
    <w:name w:val="Bullet 16"/>
    <w:lvl w:ilvl="0">
      <w:numFmt w:val="bullet"/>
      <w:lvlText w:val=""/>
      <w:lvlJc w:val="left"/>
      <w:pPr>
        <w:tabs>
          <w:tab w:val="num" w:pos="360"/>
        </w:tabs>
        <w:ind w:left="360" w:hanging="360"/>
      </w:pPr>
      <w:rPr>
        <w:rFonts w:ascii="Wingdings" w:eastAsia="Wingdings" w:hAnsi="Wingdings" w:cs="Wingdings"/>
      </w:rPr>
    </w:lvl>
  </w:abstractNum>
  <w:abstractNum w:abstractNumId="6" w15:restartNumberingAfterBreak="0">
    <w:nsid w:val="2A194525"/>
    <w:multiLevelType w:val="hybridMultilevel"/>
    <w:tmpl w:val="A8BA7138"/>
    <w:name w:val="Liste numérotée 6"/>
    <w:lvl w:ilvl="0" w:tplc="CFDE2D10">
      <w:start w:val="3"/>
      <w:numFmt w:val="upperRoman"/>
      <w:lvlText w:val="%1-"/>
      <w:lvlJc w:val="left"/>
      <w:pPr>
        <w:ind w:left="142" w:firstLine="0"/>
      </w:pPr>
      <w:rPr>
        <w:b/>
        <w:sz w:val="28"/>
      </w:rPr>
    </w:lvl>
    <w:lvl w:ilvl="1" w:tplc="34227546">
      <w:start w:val="1"/>
      <w:numFmt w:val="lowerLetter"/>
      <w:lvlText w:val="%2."/>
      <w:lvlJc w:val="left"/>
      <w:pPr>
        <w:ind w:left="862" w:firstLine="0"/>
      </w:pPr>
    </w:lvl>
    <w:lvl w:ilvl="2" w:tplc="596601D8">
      <w:start w:val="1"/>
      <w:numFmt w:val="lowerRoman"/>
      <w:lvlText w:val="%3."/>
      <w:lvlJc w:val="left"/>
      <w:pPr>
        <w:ind w:left="1762" w:firstLine="0"/>
      </w:pPr>
    </w:lvl>
    <w:lvl w:ilvl="3" w:tplc="170682C4">
      <w:start w:val="1"/>
      <w:numFmt w:val="decimal"/>
      <w:lvlText w:val="%4."/>
      <w:lvlJc w:val="left"/>
      <w:pPr>
        <w:ind w:left="2302" w:firstLine="0"/>
      </w:pPr>
    </w:lvl>
    <w:lvl w:ilvl="4" w:tplc="FA1A4C0C">
      <w:start w:val="1"/>
      <w:numFmt w:val="lowerLetter"/>
      <w:lvlText w:val="%5."/>
      <w:lvlJc w:val="left"/>
      <w:pPr>
        <w:ind w:left="3022" w:firstLine="0"/>
      </w:pPr>
    </w:lvl>
    <w:lvl w:ilvl="5" w:tplc="F85EB6D6">
      <w:start w:val="1"/>
      <w:numFmt w:val="lowerRoman"/>
      <w:lvlText w:val="%6."/>
      <w:lvlJc w:val="left"/>
      <w:pPr>
        <w:ind w:left="3922" w:firstLine="0"/>
      </w:pPr>
    </w:lvl>
    <w:lvl w:ilvl="6" w:tplc="B2A02812">
      <w:start w:val="1"/>
      <w:numFmt w:val="decimal"/>
      <w:lvlText w:val="%7."/>
      <w:lvlJc w:val="left"/>
      <w:pPr>
        <w:ind w:left="4462" w:firstLine="0"/>
      </w:pPr>
    </w:lvl>
    <w:lvl w:ilvl="7" w:tplc="8618EB1E">
      <w:start w:val="1"/>
      <w:numFmt w:val="lowerLetter"/>
      <w:lvlText w:val="%8."/>
      <w:lvlJc w:val="left"/>
      <w:pPr>
        <w:ind w:left="5182" w:firstLine="0"/>
      </w:pPr>
    </w:lvl>
    <w:lvl w:ilvl="8" w:tplc="9DF8A534">
      <w:start w:val="1"/>
      <w:numFmt w:val="lowerRoman"/>
      <w:lvlText w:val="%9."/>
      <w:lvlJc w:val="left"/>
      <w:pPr>
        <w:ind w:left="6082" w:firstLine="0"/>
      </w:pPr>
    </w:lvl>
  </w:abstractNum>
  <w:abstractNum w:abstractNumId="7" w15:restartNumberingAfterBreak="0">
    <w:nsid w:val="2DAC68AE"/>
    <w:multiLevelType w:val="singleLevel"/>
    <w:tmpl w:val="73F2AB2A"/>
    <w:name w:val="Bullet 17"/>
    <w:lvl w:ilvl="0">
      <w:start w:val="1"/>
      <w:numFmt w:val="decimal"/>
      <w:lvlText w:val="%1."/>
      <w:lvlJc w:val="left"/>
      <w:pPr>
        <w:tabs>
          <w:tab w:val="num" w:pos="360"/>
        </w:tabs>
        <w:ind w:left="360" w:hanging="360"/>
      </w:pPr>
    </w:lvl>
  </w:abstractNum>
  <w:abstractNum w:abstractNumId="8" w15:restartNumberingAfterBreak="0">
    <w:nsid w:val="33E7539F"/>
    <w:multiLevelType w:val="hybridMultilevel"/>
    <w:tmpl w:val="77488C12"/>
    <w:name w:val="Liste numérotée 1"/>
    <w:lvl w:ilvl="0" w:tplc="11D69F78">
      <w:numFmt w:val="bullet"/>
      <w:lvlText w:val="-"/>
      <w:lvlJc w:val="left"/>
      <w:pPr>
        <w:ind w:left="708" w:firstLine="0"/>
      </w:pPr>
      <w:rPr>
        <w:rFonts w:ascii="Calibri" w:eastAsia="Calibri" w:hAnsi="Calibri" w:cs="Calibri"/>
      </w:rPr>
    </w:lvl>
    <w:lvl w:ilvl="1" w:tplc="6EFE85BA">
      <w:numFmt w:val="bullet"/>
      <w:lvlText w:val="o"/>
      <w:lvlJc w:val="left"/>
      <w:pPr>
        <w:ind w:left="1428" w:firstLine="0"/>
      </w:pPr>
      <w:rPr>
        <w:rFonts w:ascii="Courier New" w:hAnsi="Courier New" w:cs="Courier New"/>
      </w:rPr>
    </w:lvl>
    <w:lvl w:ilvl="2" w:tplc="D85CEF38">
      <w:numFmt w:val="bullet"/>
      <w:lvlText w:val=""/>
      <w:lvlJc w:val="left"/>
      <w:pPr>
        <w:ind w:left="2148" w:firstLine="0"/>
      </w:pPr>
      <w:rPr>
        <w:rFonts w:ascii="Wingdings" w:eastAsia="Wingdings" w:hAnsi="Wingdings" w:cs="Wingdings"/>
      </w:rPr>
    </w:lvl>
    <w:lvl w:ilvl="3" w:tplc="CC4ABFB6">
      <w:numFmt w:val="bullet"/>
      <w:lvlText w:val=""/>
      <w:lvlJc w:val="left"/>
      <w:pPr>
        <w:ind w:left="2868" w:firstLine="0"/>
      </w:pPr>
      <w:rPr>
        <w:rFonts w:ascii="Symbol" w:hAnsi="Symbol"/>
      </w:rPr>
    </w:lvl>
    <w:lvl w:ilvl="4" w:tplc="585AD9E2">
      <w:numFmt w:val="bullet"/>
      <w:lvlText w:val="o"/>
      <w:lvlJc w:val="left"/>
      <w:pPr>
        <w:ind w:left="3588" w:firstLine="0"/>
      </w:pPr>
      <w:rPr>
        <w:rFonts w:ascii="Courier New" w:hAnsi="Courier New" w:cs="Courier New"/>
      </w:rPr>
    </w:lvl>
    <w:lvl w:ilvl="5" w:tplc="65921432">
      <w:numFmt w:val="bullet"/>
      <w:lvlText w:val=""/>
      <w:lvlJc w:val="left"/>
      <w:pPr>
        <w:ind w:left="4308" w:firstLine="0"/>
      </w:pPr>
      <w:rPr>
        <w:rFonts w:ascii="Wingdings" w:eastAsia="Wingdings" w:hAnsi="Wingdings" w:cs="Wingdings"/>
      </w:rPr>
    </w:lvl>
    <w:lvl w:ilvl="6" w:tplc="045A3C02">
      <w:numFmt w:val="bullet"/>
      <w:lvlText w:val=""/>
      <w:lvlJc w:val="left"/>
      <w:pPr>
        <w:ind w:left="5028" w:firstLine="0"/>
      </w:pPr>
      <w:rPr>
        <w:rFonts w:ascii="Symbol" w:hAnsi="Symbol"/>
      </w:rPr>
    </w:lvl>
    <w:lvl w:ilvl="7" w:tplc="A6BCEE62">
      <w:numFmt w:val="bullet"/>
      <w:lvlText w:val="o"/>
      <w:lvlJc w:val="left"/>
      <w:pPr>
        <w:ind w:left="5748" w:firstLine="0"/>
      </w:pPr>
      <w:rPr>
        <w:rFonts w:ascii="Courier New" w:hAnsi="Courier New" w:cs="Courier New"/>
      </w:rPr>
    </w:lvl>
    <w:lvl w:ilvl="8" w:tplc="BE3451CE">
      <w:numFmt w:val="bullet"/>
      <w:lvlText w:val=""/>
      <w:lvlJc w:val="left"/>
      <w:pPr>
        <w:ind w:left="6468" w:firstLine="0"/>
      </w:pPr>
      <w:rPr>
        <w:rFonts w:ascii="Wingdings" w:eastAsia="Wingdings" w:hAnsi="Wingdings" w:cs="Wingdings"/>
      </w:rPr>
    </w:lvl>
  </w:abstractNum>
  <w:abstractNum w:abstractNumId="9" w15:restartNumberingAfterBreak="0">
    <w:nsid w:val="3DC44321"/>
    <w:multiLevelType w:val="hybridMultilevel"/>
    <w:tmpl w:val="037E4DE8"/>
    <w:name w:val="Liste numérotée 5"/>
    <w:lvl w:ilvl="0" w:tplc="210E93AE">
      <w:start w:val="1"/>
      <w:numFmt w:val="decimal"/>
      <w:lvlText w:val="%1-"/>
      <w:lvlJc w:val="left"/>
      <w:pPr>
        <w:ind w:left="360" w:firstLine="0"/>
      </w:pPr>
    </w:lvl>
    <w:lvl w:ilvl="1" w:tplc="27486324">
      <w:start w:val="1"/>
      <w:numFmt w:val="lowerLetter"/>
      <w:lvlText w:val="%2."/>
      <w:lvlJc w:val="left"/>
      <w:pPr>
        <w:ind w:left="1080" w:firstLine="0"/>
      </w:pPr>
    </w:lvl>
    <w:lvl w:ilvl="2" w:tplc="B0CAB88E">
      <w:start w:val="1"/>
      <w:numFmt w:val="lowerRoman"/>
      <w:lvlText w:val="%3."/>
      <w:lvlJc w:val="left"/>
      <w:pPr>
        <w:ind w:left="1980" w:firstLine="0"/>
      </w:pPr>
    </w:lvl>
    <w:lvl w:ilvl="3" w:tplc="D6843A52">
      <w:start w:val="1"/>
      <w:numFmt w:val="decimal"/>
      <w:lvlText w:val="%4."/>
      <w:lvlJc w:val="left"/>
      <w:pPr>
        <w:ind w:left="2520" w:firstLine="0"/>
      </w:pPr>
    </w:lvl>
    <w:lvl w:ilvl="4" w:tplc="E702F6F0">
      <w:start w:val="1"/>
      <w:numFmt w:val="lowerLetter"/>
      <w:lvlText w:val="%5."/>
      <w:lvlJc w:val="left"/>
      <w:pPr>
        <w:ind w:left="3240" w:firstLine="0"/>
      </w:pPr>
    </w:lvl>
    <w:lvl w:ilvl="5" w:tplc="EFBEE2D8">
      <w:start w:val="1"/>
      <w:numFmt w:val="lowerRoman"/>
      <w:lvlText w:val="%6."/>
      <w:lvlJc w:val="left"/>
      <w:pPr>
        <w:ind w:left="4140" w:firstLine="0"/>
      </w:pPr>
    </w:lvl>
    <w:lvl w:ilvl="6" w:tplc="2884B014">
      <w:start w:val="1"/>
      <w:numFmt w:val="decimal"/>
      <w:lvlText w:val="%7."/>
      <w:lvlJc w:val="left"/>
      <w:pPr>
        <w:ind w:left="4680" w:firstLine="0"/>
      </w:pPr>
    </w:lvl>
    <w:lvl w:ilvl="7" w:tplc="A0A2F9DA">
      <w:start w:val="1"/>
      <w:numFmt w:val="lowerLetter"/>
      <w:lvlText w:val="%8."/>
      <w:lvlJc w:val="left"/>
      <w:pPr>
        <w:ind w:left="5400" w:firstLine="0"/>
      </w:pPr>
    </w:lvl>
    <w:lvl w:ilvl="8" w:tplc="E794D7BE">
      <w:start w:val="1"/>
      <w:numFmt w:val="lowerRoman"/>
      <w:lvlText w:val="%9."/>
      <w:lvlJc w:val="left"/>
      <w:pPr>
        <w:ind w:left="6300" w:firstLine="0"/>
      </w:pPr>
    </w:lvl>
  </w:abstractNum>
  <w:abstractNum w:abstractNumId="10" w15:restartNumberingAfterBreak="0">
    <w:nsid w:val="3E935758"/>
    <w:multiLevelType w:val="singleLevel"/>
    <w:tmpl w:val="2062C844"/>
    <w:name w:val="Bullet 15"/>
    <w:lvl w:ilvl="0">
      <w:numFmt w:val="bullet"/>
      <w:lvlText w:val=""/>
      <w:lvlJc w:val="left"/>
      <w:pPr>
        <w:tabs>
          <w:tab w:val="num" w:pos="360"/>
        </w:tabs>
        <w:ind w:left="360" w:hanging="360"/>
      </w:pPr>
      <w:rPr>
        <w:rFonts w:ascii="Symbol" w:eastAsia="Symbol" w:hAnsi="Symbol" w:cs="Symbol"/>
        <w:b w:val="0"/>
        <w:kern w:val="1"/>
      </w:rPr>
    </w:lvl>
  </w:abstractNum>
  <w:abstractNum w:abstractNumId="11" w15:restartNumberingAfterBreak="0">
    <w:nsid w:val="401D5708"/>
    <w:multiLevelType w:val="singleLevel"/>
    <w:tmpl w:val="19EE33CC"/>
    <w:name w:val="Bullet 13"/>
    <w:lvl w:ilvl="0">
      <w:numFmt w:val="bullet"/>
      <w:lvlText w:val=""/>
      <w:lvlJc w:val="left"/>
      <w:pPr>
        <w:ind w:left="0" w:firstLine="0"/>
      </w:pPr>
      <w:rPr>
        <w:rFonts w:ascii="Wingdings" w:eastAsia="Wingdings" w:hAnsi="Wingdings" w:cs="Wingdings"/>
      </w:rPr>
    </w:lvl>
  </w:abstractNum>
  <w:abstractNum w:abstractNumId="12" w15:restartNumberingAfterBreak="0">
    <w:nsid w:val="4DAC0709"/>
    <w:multiLevelType w:val="hybridMultilevel"/>
    <w:tmpl w:val="28C0DA4C"/>
    <w:name w:val="Liste numérotée 2"/>
    <w:lvl w:ilvl="0" w:tplc="261E91A4">
      <w:numFmt w:val="bullet"/>
      <w:lvlText w:val="•"/>
      <w:lvlJc w:val="left"/>
      <w:pPr>
        <w:ind w:left="360" w:firstLine="0"/>
      </w:pPr>
      <w:rPr>
        <w:rFonts w:ascii="OpenSymbol" w:eastAsia="OpenSymbol" w:hAnsi="OpenSymbol" w:cs="OpenSymbol"/>
      </w:rPr>
    </w:lvl>
    <w:lvl w:ilvl="1" w:tplc="E5323A88">
      <w:numFmt w:val="bullet"/>
      <w:lvlText w:val="◦"/>
      <w:lvlJc w:val="left"/>
      <w:pPr>
        <w:ind w:left="720" w:firstLine="0"/>
      </w:pPr>
      <w:rPr>
        <w:rFonts w:ascii="OpenSymbol" w:eastAsia="OpenSymbol" w:hAnsi="OpenSymbol" w:cs="OpenSymbol"/>
      </w:rPr>
    </w:lvl>
    <w:lvl w:ilvl="2" w:tplc="EDC6863A">
      <w:numFmt w:val="bullet"/>
      <w:lvlText w:val="▪"/>
      <w:lvlJc w:val="left"/>
      <w:pPr>
        <w:ind w:left="1080" w:firstLine="0"/>
      </w:pPr>
      <w:rPr>
        <w:rFonts w:ascii="OpenSymbol" w:eastAsia="OpenSymbol" w:hAnsi="OpenSymbol" w:cs="OpenSymbol"/>
      </w:rPr>
    </w:lvl>
    <w:lvl w:ilvl="3" w:tplc="070EF65E">
      <w:numFmt w:val="bullet"/>
      <w:lvlText w:val="•"/>
      <w:lvlJc w:val="left"/>
      <w:pPr>
        <w:ind w:left="1440" w:firstLine="0"/>
      </w:pPr>
      <w:rPr>
        <w:rFonts w:ascii="OpenSymbol" w:eastAsia="OpenSymbol" w:hAnsi="OpenSymbol" w:cs="OpenSymbol"/>
      </w:rPr>
    </w:lvl>
    <w:lvl w:ilvl="4" w:tplc="28767EE2">
      <w:numFmt w:val="bullet"/>
      <w:lvlText w:val="◦"/>
      <w:lvlJc w:val="left"/>
      <w:pPr>
        <w:ind w:left="1800" w:firstLine="0"/>
      </w:pPr>
      <w:rPr>
        <w:rFonts w:ascii="OpenSymbol" w:eastAsia="OpenSymbol" w:hAnsi="OpenSymbol" w:cs="OpenSymbol"/>
      </w:rPr>
    </w:lvl>
    <w:lvl w:ilvl="5" w:tplc="275C7118">
      <w:numFmt w:val="bullet"/>
      <w:lvlText w:val="▪"/>
      <w:lvlJc w:val="left"/>
      <w:pPr>
        <w:ind w:left="2160" w:firstLine="0"/>
      </w:pPr>
      <w:rPr>
        <w:rFonts w:ascii="OpenSymbol" w:eastAsia="OpenSymbol" w:hAnsi="OpenSymbol" w:cs="OpenSymbol"/>
      </w:rPr>
    </w:lvl>
    <w:lvl w:ilvl="6" w:tplc="FFEA545E">
      <w:numFmt w:val="bullet"/>
      <w:lvlText w:val="•"/>
      <w:lvlJc w:val="left"/>
      <w:pPr>
        <w:ind w:left="2520" w:firstLine="0"/>
      </w:pPr>
      <w:rPr>
        <w:rFonts w:ascii="OpenSymbol" w:eastAsia="OpenSymbol" w:hAnsi="OpenSymbol" w:cs="OpenSymbol"/>
      </w:rPr>
    </w:lvl>
    <w:lvl w:ilvl="7" w:tplc="3014C782">
      <w:numFmt w:val="bullet"/>
      <w:lvlText w:val="◦"/>
      <w:lvlJc w:val="left"/>
      <w:pPr>
        <w:ind w:left="2880" w:firstLine="0"/>
      </w:pPr>
      <w:rPr>
        <w:rFonts w:ascii="OpenSymbol" w:eastAsia="OpenSymbol" w:hAnsi="OpenSymbol" w:cs="OpenSymbol"/>
      </w:rPr>
    </w:lvl>
    <w:lvl w:ilvl="8" w:tplc="722EBD5C">
      <w:numFmt w:val="bullet"/>
      <w:lvlText w:val="▪"/>
      <w:lvlJc w:val="left"/>
      <w:pPr>
        <w:ind w:left="3240" w:firstLine="0"/>
      </w:pPr>
      <w:rPr>
        <w:rFonts w:ascii="OpenSymbol" w:eastAsia="OpenSymbol" w:hAnsi="OpenSymbol" w:cs="OpenSymbol"/>
      </w:rPr>
    </w:lvl>
  </w:abstractNum>
  <w:abstractNum w:abstractNumId="13" w15:restartNumberingAfterBreak="0">
    <w:nsid w:val="504227AB"/>
    <w:multiLevelType w:val="hybridMultilevel"/>
    <w:tmpl w:val="26748392"/>
    <w:name w:val="Liste numérotée 9"/>
    <w:lvl w:ilvl="0" w:tplc="ED4860AE">
      <w:start w:val="1"/>
      <w:numFmt w:val="decimal"/>
      <w:lvlText w:val="%1."/>
      <w:lvlJc w:val="left"/>
      <w:pPr>
        <w:ind w:left="360" w:firstLine="0"/>
      </w:pPr>
    </w:lvl>
    <w:lvl w:ilvl="1" w:tplc="63C4E280">
      <w:start w:val="1"/>
      <w:numFmt w:val="lowerLetter"/>
      <w:lvlText w:val="%2."/>
      <w:lvlJc w:val="left"/>
      <w:pPr>
        <w:ind w:left="1080" w:firstLine="0"/>
      </w:pPr>
    </w:lvl>
    <w:lvl w:ilvl="2" w:tplc="06EA8972">
      <w:start w:val="1"/>
      <w:numFmt w:val="lowerRoman"/>
      <w:lvlText w:val="%3."/>
      <w:lvlJc w:val="left"/>
      <w:pPr>
        <w:ind w:left="1980" w:firstLine="0"/>
      </w:pPr>
    </w:lvl>
    <w:lvl w:ilvl="3" w:tplc="493CF7E2">
      <w:start w:val="1"/>
      <w:numFmt w:val="decimal"/>
      <w:lvlText w:val="%4."/>
      <w:lvlJc w:val="left"/>
      <w:pPr>
        <w:ind w:left="2520" w:firstLine="0"/>
      </w:pPr>
    </w:lvl>
    <w:lvl w:ilvl="4" w:tplc="36629C0E">
      <w:start w:val="1"/>
      <w:numFmt w:val="lowerLetter"/>
      <w:lvlText w:val="%5."/>
      <w:lvlJc w:val="left"/>
      <w:pPr>
        <w:ind w:left="3240" w:firstLine="0"/>
      </w:pPr>
    </w:lvl>
    <w:lvl w:ilvl="5" w:tplc="6BFE5712">
      <w:start w:val="1"/>
      <w:numFmt w:val="lowerRoman"/>
      <w:lvlText w:val="%6."/>
      <w:lvlJc w:val="left"/>
      <w:pPr>
        <w:ind w:left="4140" w:firstLine="0"/>
      </w:pPr>
    </w:lvl>
    <w:lvl w:ilvl="6" w:tplc="CE52AC52">
      <w:start w:val="1"/>
      <w:numFmt w:val="decimal"/>
      <w:lvlText w:val="%7."/>
      <w:lvlJc w:val="left"/>
      <w:pPr>
        <w:ind w:left="4680" w:firstLine="0"/>
      </w:pPr>
    </w:lvl>
    <w:lvl w:ilvl="7" w:tplc="35C2B982">
      <w:start w:val="1"/>
      <w:numFmt w:val="lowerLetter"/>
      <w:lvlText w:val="%8."/>
      <w:lvlJc w:val="left"/>
      <w:pPr>
        <w:ind w:left="5400" w:firstLine="0"/>
      </w:pPr>
    </w:lvl>
    <w:lvl w:ilvl="8" w:tplc="69B0DBC2">
      <w:start w:val="1"/>
      <w:numFmt w:val="lowerRoman"/>
      <w:lvlText w:val="%9."/>
      <w:lvlJc w:val="left"/>
      <w:pPr>
        <w:ind w:left="6300" w:firstLine="0"/>
      </w:pPr>
    </w:lvl>
  </w:abstractNum>
  <w:abstractNum w:abstractNumId="14" w15:restartNumberingAfterBreak="0">
    <w:nsid w:val="50C31C56"/>
    <w:multiLevelType w:val="hybridMultilevel"/>
    <w:tmpl w:val="A8428734"/>
    <w:lvl w:ilvl="0" w:tplc="3FB80562">
      <w:numFmt w:val="none"/>
      <w:lvlText w:val=""/>
      <w:lvlJc w:val="left"/>
      <w:pPr>
        <w:tabs>
          <w:tab w:val="num" w:pos="360"/>
        </w:tabs>
        <w:ind w:left="360" w:hanging="360"/>
      </w:pPr>
    </w:lvl>
    <w:lvl w:ilvl="1" w:tplc="D638C868">
      <w:numFmt w:val="none"/>
      <w:lvlText w:val=""/>
      <w:lvlJc w:val="left"/>
      <w:pPr>
        <w:tabs>
          <w:tab w:val="num" w:pos="360"/>
        </w:tabs>
        <w:ind w:left="360" w:hanging="360"/>
      </w:pPr>
    </w:lvl>
    <w:lvl w:ilvl="2" w:tplc="B1909056">
      <w:numFmt w:val="none"/>
      <w:lvlText w:val=""/>
      <w:lvlJc w:val="left"/>
      <w:pPr>
        <w:tabs>
          <w:tab w:val="num" w:pos="360"/>
        </w:tabs>
        <w:ind w:left="360" w:hanging="360"/>
      </w:pPr>
    </w:lvl>
    <w:lvl w:ilvl="3" w:tplc="AF1EB836">
      <w:numFmt w:val="none"/>
      <w:lvlText w:val=""/>
      <w:lvlJc w:val="left"/>
      <w:pPr>
        <w:tabs>
          <w:tab w:val="num" w:pos="360"/>
        </w:tabs>
        <w:ind w:left="360" w:hanging="360"/>
      </w:pPr>
    </w:lvl>
    <w:lvl w:ilvl="4" w:tplc="5D4A6400">
      <w:numFmt w:val="none"/>
      <w:lvlText w:val=""/>
      <w:lvlJc w:val="left"/>
      <w:pPr>
        <w:tabs>
          <w:tab w:val="num" w:pos="360"/>
        </w:tabs>
        <w:ind w:left="360" w:hanging="360"/>
      </w:pPr>
    </w:lvl>
    <w:lvl w:ilvl="5" w:tplc="DEB8F8A6">
      <w:numFmt w:val="none"/>
      <w:lvlText w:val=""/>
      <w:lvlJc w:val="left"/>
      <w:pPr>
        <w:tabs>
          <w:tab w:val="num" w:pos="360"/>
        </w:tabs>
        <w:ind w:left="360" w:hanging="360"/>
      </w:pPr>
    </w:lvl>
    <w:lvl w:ilvl="6" w:tplc="8F0E75A6">
      <w:numFmt w:val="none"/>
      <w:lvlText w:val=""/>
      <w:lvlJc w:val="left"/>
      <w:pPr>
        <w:tabs>
          <w:tab w:val="num" w:pos="360"/>
        </w:tabs>
        <w:ind w:left="360" w:hanging="360"/>
      </w:pPr>
    </w:lvl>
    <w:lvl w:ilvl="7" w:tplc="CA9A1214">
      <w:numFmt w:val="none"/>
      <w:lvlText w:val=""/>
      <w:lvlJc w:val="left"/>
      <w:pPr>
        <w:tabs>
          <w:tab w:val="num" w:pos="360"/>
        </w:tabs>
        <w:ind w:left="360" w:hanging="360"/>
      </w:pPr>
    </w:lvl>
    <w:lvl w:ilvl="8" w:tplc="E55C7DF4">
      <w:numFmt w:val="none"/>
      <w:lvlText w:val=""/>
      <w:lvlJc w:val="left"/>
      <w:pPr>
        <w:tabs>
          <w:tab w:val="num" w:pos="360"/>
        </w:tabs>
        <w:ind w:left="360" w:hanging="360"/>
      </w:pPr>
    </w:lvl>
  </w:abstractNum>
  <w:abstractNum w:abstractNumId="15" w15:restartNumberingAfterBreak="0">
    <w:nsid w:val="524C621B"/>
    <w:multiLevelType w:val="hybridMultilevel"/>
    <w:tmpl w:val="C9D8DB4C"/>
    <w:name w:val="Liste numérotée 13"/>
    <w:lvl w:ilvl="0" w:tplc="91D89D90">
      <w:start w:val="1"/>
      <w:numFmt w:val="decimal"/>
      <w:lvlText w:val="%1."/>
      <w:lvlJc w:val="left"/>
      <w:pPr>
        <w:ind w:left="360" w:firstLine="0"/>
      </w:pPr>
    </w:lvl>
    <w:lvl w:ilvl="1" w:tplc="2F6EE76E">
      <w:start w:val="1"/>
      <w:numFmt w:val="lowerLetter"/>
      <w:lvlText w:val="%2."/>
      <w:lvlJc w:val="left"/>
      <w:pPr>
        <w:ind w:left="1080" w:firstLine="0"/>
      </w:pPr>
    </w:lvl>
    <w:lvl w:ilvl="2" w:tplc="F87E884C">
      <w:start w:val="1"/>
      <w:numFmt w:val="lowerRoman"/>
      <w:lvlText w:val="%3."/>
      <w:lvlJc w:val="left"/>
      <w:pPr>
        <w:ind w:left="1980" w:firstLine="0"/>
      </w:pPr>
    </w:lvl>
    <w:lvl w:ilvl="3" w:tplc="5BE4AAF4">
      <w:start w:val="1"/>
      <w:numFmt w:val="decimal"/>
      <w:lvlText w:val="%4."/>
      <w:lvlJc w:val="left"/>
      <w:pPr>
        <w:ind w:left="2520" w:firstLine="0"/>
      </w:pPr>
    </w:lvl>
    <w:lvl w:ilvl="4" w:tplc="051C3CC4">
      <w:start w:val="1"/>
      <w:numFmt w:val="lowerLetter"/>
      <w:lvlText w:val="%5."/>
      <w:lvlJc w:val="left"/>
      <w:pPr>
        <w:ind w:left="3240" w:firstLine="0"/>
      </w:pPr>
    </w:lvl>
    <w:lvl w:ilvl="5" w:tplc="944EE964">
      <w:start w:val="1"/>
      <w:numFmt w:val="lowerRoman"/>
      <w:lvlText w:val="%6."/>
      <w:lvlJc w:val="left"/>
      <w:pPr>
        <w:ind w:left="4140" w:firstLine="0"/>
      </w:pPr>
    </w:lvl>
    <w:lvl w:ilvl="6" w:tplc="234EF0B8">
      <w:start w:val="1"/>
      <w:numFmt w:val="decimal"/>
      <w:lvlText w:val="%7."/>
      <w:lvlJc w:val="left"/>
      <w:pPr>
        <w:ind w:left="4680" w:firstLine="0"/>
      </w:pPr>
    </w:lvl>
    <w:lvl w:ilvl="7" w:tplc="7F06B152">
      <w:start w:val="1"/>
      <w:numFmt w:val="lowerLetter"/>
      <w:lvlText w:val="%8."/>
      <w:lvlJc w:val="left"/>
      <w:pPr>
        <w:ind w:left="5400" w:firstLine="0"/>
      </w:pPr>
    </w:lvl>
    <w:lvl w:ilvl="8" w:tplc="2474E8CC">
      <w:start w:val="1"/>
      <w:numFmt w:val="lowerRoman"/>
      <w:lvlText w:val="%9."/>
      <w:lvlJc w:val="left"/>
      <w:pPr>
        <w:ind w:left="6300" w:firstLine="0"/>
      </w:pPr>
    </w:lvl>
  </w:abstractNum>
  <w:abstractNum w:abstractNumId="16" w15:restartNumberingAfterBreak="0">
    <w:nsid w:val="52D74D01"/>
    <w:multiLevelType w:val="hybridMultilevel"/>
    <w:tmpl w:val="DE865218"/>
    <w:name w:val="Liste numérotée 8"/>
    <w:lvl w:ilvl="0" w:tplc="D6CE56F8">
      <w:numFmt w:val="bullet"/>
      <w:lvlText w:val="•"/>
      <w:lvlJc w:val="left"/>
      <w:pPr>
        <w:ind w:left="360" w:firstLine="0"/>
      </w:pPr>
      <w:rPr>
        <w:rFonts w:ascii="OpenSymbol" w:eastAsia="OpenSymbol" w:hAnsi="OpenSymbol" w:cs="OpenSymbol"/>
      </w:rPr>
    </w:lvl>
    <w:lvl w:ilvl="1" w:tplc="CBE8FD98">
      <w:numFmt w:val="bullet"/>
      <w:lvlText w:val="◦"/>
      <w:lvlJc w:val="left"/>
      <w:pPr>
        <w:ind w:left="720" w:firstLine="0"/>
      </w:pPr>
      <w:rPr>
        <w:rFonts w:ascii="OpenSymbol" w:eastAsia="OpenSymbol" w:hAnsi="OpenSymbol" w:cs="OpenSymbol"/>
      </w:rPr>
    </w:lvl>
    <w:lvl w:ilvl="2" w:tplc="6EDA241E">
      <w:numFmt w:val="bullet"/>
      <w:lvlText w:val="▪"/>
      <w:lvlJc w:val="left"/>
      <w:pPr>
        <w:ind w:left="1080" w:firstLine="0"/>
      </w:pPr>
      <w:rPr>
        <w:rFonts w:ascii="OpenSymbol" w:eastAsia="OpenSymbol" w:hAnsi="OpenSymbol" w:cs="OpenSymbol"/>
      </w:rPr>
    </w:lvl>
    <w:lvl w:ilvl="3" w:tplc="FA287D28">
      <w:numFmt w:val="bullet"/>
      <w:lvlText w:val="•"/>
      <w:lvlJc w:val="left"/>
      <w:pPr>
        <w:ind w:left="1440" w:firstLine="0"/>
      </w:pPr>
      <w:rPr>
        <w:rFonts w:ascii="OpenSymbol" w:eastAsia="OpenSymbol" w:hAnsi="OpenSymbol" w:cs="OpenSymbol"/>
      </w:rPr>
    </w:lvl>
    <w:lvl w:ilvl="4" w:tplc="05E46714">
      <w:numFmt w:val="bullet"/>
      <w:lvlText w:val="◦"/>
      <w:lvlJc w:val="left"/>
      <w:pPr>
        <w:ind w:left="1800" w:firstLine="0"/>
      </w:pPr>
      <w:rPr>
        <w:rFonts w:ascii="OpenSymbol" w:eastAsia="OpenSymbol" w:hAnsi="OpenSymbol" w:cs="OpenSymbol"/>
      </w:rPr>
    </w:lvl>
    <w:lvl w:ilvl="5" w:tplc="EDD23E40">
      <w:numFmt w:val="bullet"/>
      <w:lvlText w:val="▪"/>
      <w:lvlJc w:val="left"/>
      <w:pPr>
        <w:ind w:left="2160" w:firstLine="0"/>
      </w:pPr>
      <w:rPr>
        <w:rFonts w:ascii="OpenSymbol" w:eastAsia="OpenSymbol" w:hAnsi="OpenSymbol" w:cs="OpenSymbol"/>
      </w:rPr>
    </w:lvl>
    <w:lvl w:ilvl="6" w:tplc="67662CDA">
      <w:numFmt w:val="bullet"/>
      <w:lvlText w:val="•"/>
      <w:lvlJc w:val="left"/>
      <w:pPr>
        <w:ind w:left="2520" w:firstLine="0"/>
      </w:pPr>
      <w:rPr>
        <w:rFonts w:ascii="OpenSymbol" w:eastAsia="OpenSymbol" w:hAnsi="OpenSymbol" w:cs="OpenSymbol"/>
      </w:rPr>
    </w:lvl>
    <w:lvl w:ilvl="7" w:tplc="13A63294">
      <w:numFmt w:val="bullet"/>
      <w:lvlText w:val="◦"/>
      <w:lvlJc w:val="left"/>
      <w:pPr>
        <w:ind w:left="2880" w:firstLine="0"/>
      </w:pPr>
      <w:rPr>
        <w:rFonts w:ascii="OpenSymbol" w:eastAsia="OpenSymbol" w:hAnsi="OpenSymbol" w:cs="OpenSymbol"/>
      </w:rPr>
    </w:lvl>
    <w:lvl w:ilvl="8" w:tplc="D43A73CA">
      <w:numFmt w:val="bullet"/>
      <w:lvlText w:val="▪"/>
      <w:lvlJc w:val="left"/>
      <w:pPr>
        <w:ind w:left="3240" w:firstLine="0"/>
      </w:pPr>
      <w:rPr>
        <w:rFonts w:ascii="OpenSymbol" w:eastAsia="OpenSymbol" w:hAnsi="OpenSymbol" w:cs="OpenSymbol"/>
      </w:rPr>
    </w:lvl>
  </w:abstractNum>
  <w:abstractNum w:abstractNumId="17" w15:restartNumberingAfterBreak="0">
    <w:nsid w:val="6CE439DB"/>
    <w:multiLevelType w:val="hybridMultilevel"/>
    <w:tmpl w:val="82C8A5CA"/>
    <w:name w:val="Liste numérotée 11"/>
    <w:lvl w:ilvl="0" w:tplc="E2C65086">
      <w:numFmt w:val="bullet"/>
      <w:lvlText w:val="•"/>
      <w:lvlJc w:val="left"/>
      <w:pPr>
        <w:ind w:left="360" w:firstLine="0"/>
      </w:pPr>
      <w:rPr>
        <w:rFonts w:ascii="OpenSymbol" w:eastAsia="OpenSymbol" w:hAnsi="OpenSymbol" w:cs="OpenSymbol"/>
      </w:rPr>
    </w:lvl>
    <w:lvl w:ilvl="1" w:tplc="B44EB0D0">
      <w:numFmt w:val="bullet"/>
      <w:lvlText w:val="◦"/>
      <w:lvlJc w:val="left"/>
      <w:pPr>
        <w:ind w:left="720" w:firstLine="0"/>
      </w:pPr>
      <w:rPr>
        <w:rFonts w:ascii="OpenSymbol" w:eastAsia="OpenSymbol" w:hAnsi="OpenSymbol" w:cs="OpenSymbol"/>
      </w:rPr>
    </w:lvl>
    <w:lvl w:ilvl="2" w:tplc="CEAAF7A4">
      <w:numFmt w:val="bullet"/>
      <w:lvlText w:val="▪"/>
      <w:lvlJc w:val="left"/>
      <w:pPr>
        <w:ind w:left="1080" w:firstLine="0"/>
      </w:pPr>
      <w:rPr>
        <w:rFonts w:ascii="OpenSymbol" w:eastAsia="OpenSymbol" w:hAnsi="OpenSymbol" w:cs="OpenSymbol"/>
      </w:rPr>
    </w:lvl>
    <w:lvl w:ilvl="3" w:tplc="EE6678A2">
      <w:numFmt w:val="bullet"/>
      <w:lvlText w:val="•"/>
      <w:lvlJc w:val="left"/>
      <w:pPr>
        <w:ind w:left="1440" w:firstLine="0"/>
      </w:pPr>
      <w:rPr>
        <w:rFonts w:ascii="OpenSymbol" w:eastAsia="OpenSymbol" w:hAnsi="OpenSymbol" w:cs="OpenSymbol"/>
      </w:rPr>
    </w:lvl>
    <w:lvl w:ilvl="4" w:tplc="3A4E1E9E">
      <w:numFmt w:val="bullet"/>
      <w:lvlText w:val="◦"/>
      <w:lvlJc w:val="left"/>
      <w:pPr>
        <w:ind w:left="1800" w:firstLine="0"/>
      </w:pPr>
      <w:rPr>
        <w:rFonts w:ascii="OpenSymbol" w:eastAsia="OpenSymbol" w:hAnsi="OpenSymbol" w:cs="OpenSymbol"/>
      </w:rPr>
    </w:lvl>
    <w:lvl w:ilvl="5" w:tplc="0498BBAE">
      <w:numFmt w:val="bullet"/>
      <w:lvlText w:val="▪"/>
      <w:lvlJc w:val="left"/>
      <w:pPr>
        <w:ind w:left="2160" w:firstLine="0"/>
      </w:pPr>
      <w:rPr>
        <w:rFonts w:ascii="OpenSymbol" w:eastAsia="OpenSymbol" w:hAnsi="OpenSymbol" w:cs="OpenSymbol"/>
      </w:rPr>
    </w:lvl>
    <w:lvl w:ilvl="6" w:tplc="99165380">
      <w:numFmt w:val="bullet"/>
      <w:lvlText w:val="•"/>
      <w:lvlJc w:val="left"/>
      <w:pPr>
        <w:ind w:left="2520" w:firstLine="0"/>
      </w:pPr>
      <w:rPr>
        <w:rFonts w:ascii="OpenSymbol" w:eastAsia="OpenSymbol" w:hAnsi="OpenSymbol" w:cs="OpenSymbol"/>
      </w:rPr>
    </w:lvl>
    <w:lvl w:ilvl="7" w:tplc="D3B2F0F6">
      <w:numFmt w:val="bullet"/>
      <w:lvlText w:val="◦"/>
      <w:lvlJc w:val="left"/>
      <w:pPr>
        <w:ind w:left="2880" w:firstLine="0"/>
      </w:pPr>
      <w:rPr>
        <w:rFonts w:ascii="OpenSymbol" w:eastAsia="OpenSymbol" w:hAnsi="OpenSymbol" w:cs="OpenSymbol"/>
      </w:rPr>
    </w:lvl>
    <w:lvl w:ilvl="8" w:tplc="9E1C39CE">
      <w:numFmt w:val="bullet"/>
      <w:lvlText w:val="▪"/>
      <w:lvlJc w:val="left"/>
      <w:pPr>
        <w:ind w:left="3240" w:firstLine="0"/>
      </w:pPr>
      <w:rPr>
        <w:rFonts w:ascii="OpenSymbol" w:eastAsia="OpenSymbol" w:hAnsi="OpenSymbol" w:cs="OpenSymbol"/>
      </w:rPr>
    </w:lvl>
  </w:abstractNum>
  <w:abstractNum w:abstractNumId="18" w15:restartNumberingAfterBreak="0">
    <w:nsid w:val="714F36AD"/>
    <w:multiLevelType w:val="hybridMultilevel"/>
    <w:tmpl w:val="AFB65F0A"/>
    <w:name w:val="Liste numérotée 12"/>
    <w:lvl w:ilvl="0" w:tplc="9D787282">
      <w:start w:val="3"/>
      <w:numFmt w:val="upperRoman"/>
      <w:lvlText w:val="%1-"/>
      <w:lvlJc w:val="left"/>
      <w:pPr>
        <w:ind w:left="360" w:firstLine="0"/>
      </w:pPr>
      <w:rPr>
        <w:b/>
        <w:sz w:val="28"/>
      </w:rPr>
    </w:lvl>
    <w:lvl w:ilvl="1" w:tplc="84B48B94">
      <w:start w:val="1"/>
      <w:numFmt w:val="lowerLetter"/>
      <w:lvlText w:val="%2."/>
      <w:lvlJc w:val="left"/>
      <w:pPr>
        <w:ind w:left="1080" w:firstLine="0"/>
      </w:pPr>
    </w:lvl>
    <w:lvl w:ilvl="2" w:tplc="1FFAFD8A">
      <w:start w:val="1"/>
      <w:numFmt w:val="lowerRoman"/>
      <w:lvlText w:val="%3."/>
      <w:lvlJc w:val="left"/>
      <w:pPr>
        <w:ind w:left="1980" w:firstLine="0"/>
      </w:pPr>
    </w:lvl>
    <w:lvl w:ilvl="3" w:tplc="1F6833AA">
      <w:start w:val="1"/>
      <w:numFmt w:val="decimal"/>
      <w:lvlText w:val="%4."/>
      <w:lvlJc w:val="left"/>
      <w:pPr>
        <w:ind w:left="2520" w:firstLine="0"/>
      </w:pPr>
    </w:lvl>
    <w:lvl w:ilvl="4" w:tplc="84E0EB2E">
      <w:start w:val="1"/>
      <w:numFmt w:val="lowerLetter"/>
      <w:lvlText w:val="%5."/>
      <w:lvlJc w:val="left"/>
      <w:pPr>
        <w:ind w:left="3240" w:firstLine="0"/>
      </w:pPr>
    </w:lvl>
    <w:lvl w:ilvl="5" w:tplc="D026D746">
      <w:start w:val="1"/>
      <w:numFmt w:val="lowerRoman"/>
      <w:lvlText w:val="%6."/>
      <w:lvlJc w:val="left"/>
      <w:pPr>
        <w:ind w:left="4140" w:firstLine="0"/>
      </w:pPr>
    </w:lvl>
    <w:lvl w:ilvl="6" w:tplc="4AB8D888">
      <w:start w:val="1"/>
      <w:numFmt w:val="decimal"/>
      <w:lvlText w:val="%7."/>
      <w:lvlJc w:val="left"/>
      <w:pPr>
        <w:ind w:left="4680" w:firstLine="0"/>
      </w:pPr>
    </w:lvl>
    <w:lvl w:ilvl="7" w:tplc="98EE58E8">
      <w:start w:val="1"/>
      <w:numFmt w:val="lowerLetter"/>
      <w:lvlText w:val="%8."/>
      <w:lvlJc w:val="left"/>
      <w:pPr>
        <w:ind w:left="5400" w:firstLine="0"/>
      </w:pPr>
    </w:lvl>
    <w:lvl w:ilvl="8" w:tplc="41A828F4">
      <w:start w:val="1"/>
      <w:numFmt w:val="lowerRoman"/>
      <w:lvlText w:val="%9."/>
      <w:lvlJc w:val="left"/>
      <w:pPr>
        <w:ind w:left="6300" w:firstLine="0"/>
      </w:pPr>
    </w:lvl>
  </w:abstractNum>
  <w:num w:numId="1">
    <w:abstractNumId w:val="8"/>
  </w:num>
  <w:num w:numId="2">
    <w:abstractNumId w:val="12"/>
  </w:num>
  <w:num w:numId="3">
    <w:abstractNumId w:val="0"/>
  </w:num>
  <w:num w:numId="4">
    <w:abstractNumId w:val="2"/>
  </w:num>
  <w:num w:numId="5">
    <w:abstractNumId w:val="9"/>
  </w:num>
  <w:num w:numId="6">
    <w:abstractNumId w:val="6"/>
  </w:num>
  <w:num w:numId="7">
    <w:abstractNumId w:val="4"/>
  </w:num>
  <w:num w:numId="8">
    <w:abstractNumId w:val="16"/>
  </w:num>
  <w:num w:numId="9">
    <w:abstractNumId w:val="13"/>
  </w:num>
  <w:num w:numId="10">
    <w:abstractNumId w:val="3"/>
  </w:num>
  <w:num w:numId="11">
    <w:abstractNumId w:val="17"/>
  </w:num>
  <w:num w:numId="12">
    <w:abstractNumId w:val="18"/>
  </w:num>
  <w:num w:numId="13">
    <w:abstractNumId w:val="11"/>
  </w:num>
  <w:num w:numId="14">
    <w:abstractNumId w:val="15"/>
  </w:num>
  <w:num w:numId="15">
    <w:abstractNumId w:val="10"/>
  </w:num>
  <w:num w:numId="16">
    <w:abstractNumId w:val="5"/>
  </w:num>
  <w:num w:numId="17">
    <w:abstractNumId w:val="7"/>
  </w:num>
  <w:num w:numId="18">
    <w:abstractNumId w:val="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rawingGridVerticalSpacing w:val="283"/>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38B"/>
    <w:rsid w:val="00006D2B"/>
    <w:rsid w:val="002558F8"/>
    <w:rsid w:val="002D2A6B"/>
    <w:rsid w:val="003B1AEA"/>
    <w:rsid w:val="003B2A60"/>
    <w:rsid w:val="003F738B"/>
    <w:rsid w:val="0053130D"/>
    <w:rsid w:val="005E24DC"/>
    <w:rsid w:val="00620D68"/>
    <w:rsid w:val="006376C6"/>
    <w:rsid w:val="00915384"/>
    <w:rsid w:val="00921D1A"/>
    <w:rsid w:val="00970F03"/>
    <w:rsid w:val="009E5C7C"/>
    <w:rsid w:val="00A12D5E"/>
    <w:rsid w:val="00A25594"/>
    <w:rsid w:val="00B10C43"/>
    <w:rsid w:val="00B96271"/>
    <w:rsid w:val="00BE66DC"/>
    <w:rsid w:val="00BF2E04"/>
    <w:rsid w:val="00CA1143"/>
    <w:rsid w:val="00CE5D10"/>
    <w:rsid w:val="00D62A08"/>
    <w:rsid w:val="00D7441B"/>
    <w:rsid w:val="00DB3F71"/>
    <w:rsid w:val="00EC5DC7"/>
    <w:rsid w:val="00EF6FCE"/>
    <w:rsid w:val="00F220F4"/>
    <w:rsid w:val="00FF54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F9A599-136D-4E4B-900C-E399FE01B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38B"/>
    <w:pPr>
      <w:spacing w:after="160" w:line="259" w:lineRule="auto"/>
    </w:pPr>
  </w:style>
  <w:style w:type="paragraph" w:styleId="Titre1">
    <w:name w:val="heading 1"/>
    <w:basedOn w:val="Normal"/>
    <w:next w:val="Normal"/>
    <w:qFormat/>
    <w:rsid w:val="003F738B"/>
    <w:pPr>
      <w:keepNext/>
      <w:widowControl w:val="0"/>
      <w:suppressAutoHyphens/>
      <w:spacing w:after="0" w:line="240" w:lineRule="auto"/>
      <w:outlineLvl w:val="0"/>
    </w:pPr>
    <w:rPr>
      <w:rFonts w:ascii="Times New Roman" w:eastAsia="Arial Unicode MS" w:hAnsi="Times New Roman" w:cs="Arial Unicode MS"/>
      <w:bCs/>
      <w:color w:val="FF6600"/>
      <w:kern w:val="1"/>
      <w:sz w:val="28"/>
      <w:szCs w:val="28"/>
      <w:lang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3F738B"/>
    <w:pPr>
      <w:ind w:left="720"/>
      <w:contextualSpacing/>
    </w:pPr>
  </w:style>
  <w:style w:type="paragraph" w:styleId="Corpsdetexte3">
    <w:name w:val="Body Text 3"/>
    <w:basedOn w:val="Normal"/>
    <w:qFormat/>
    <w:rsid w:val="003F738B"/>
    <w:pPr>
      <w:widowControl w:val="0"/>
      <w:suppressAutoHyphens/>
      <w:spacing w:after="120" w:line="240" w:lineRule="auto"/>
    </w:pPr>
    <w:rPr>
      <w:rFonts w:ascii="Times New Roman" w:eastAsia="Arial Unicode MS" w:hAnsi="Times New Roman" w:cs="Mangal"/>
      <w:kern w:val="1"/>
      <w:sz w:val="16"/>
      <w:szCs w:val="14"/>
      <w:lang w:bidi="hi-IN"/>
    </w:rPr>
  </w:style>
  <w:style w:type="paragraph" w:customStyle="1" w:styleId="Footnote">
    <w:name w:val="Footnote"/>
    <w:basedOn w:val="Normal"/>
    <w:qFormat/>
    <w:rsid w:val="003F738B"/>
    <w:pPr>
      <w:widowControl w:val="0"/>
      <w:suppressLineNumbers/>
      <w:suppressAutoHyphens/>
      <w:spacing w:after="0" w:line="240" w:lineRule="auto"/>
      <w:ind w:left="339" w:hanging="339"/>
    </w:pPr>
    <w:rPr>
      <w:rFonts w:ascii="Liberation Serif" w:eastAsia="Droid Sans" w:hAnsi="Liberation Serif" w:cs="Lohit Hindi"/>
      <w:kern w:val="1"/>
      <w:sz w:val="20"/>
      <w:szCs w:val="20"/>
      <w:lang w:bidi="hi-IN"/>
    </w:rPr>
  </w:style>
  <w:style w:type="paragraph" w:customStyle="1" w:styleId="Standard">
    <w:name w:val="Standard"/>
    <w:qFormat/>
    <w:rsid w:val="003F738B"/>
    <w:pPr>
      <w:tabs>
        <w:tab w:val="left" w:pos="708"/>
      </w:tabs>
      <w:suppressAutoHyphens/>
      <w:spacing w:line="276" w:lineRule="auto"/>
    </w:pPr>
    <w:rPr>
      <w:rFonts w:cs="Calibri"/>
      <w:color w:val="00000A"/>
    </w:rPr>
  </w:style>
  <w:style w:type="paragraph" w:customStyle="1" w:styleId="Notedebasdepage1">
    <w:name w:val="Note de bas de page1"/>
    <w:basedOn w:val="Normal"/>
    <w:qFormat/>
    <w:rsid w:val="003F738B"/>
    <w:pPr>
      <w:widowControl w:val="0"/>
      <w:suppressLineNumbers/>
      <w:suppressAutoHyphens/>
      <w:spacing w:after="0" w:line="240" w:lineRule="auto"/>
      <w:ind w:left="283" w:hanging="283"/>
    </w:pPr>
    <w:rPr>
      <w:rFonts w:ascii="Times New Roman" w:eastAsia="Arial Unicode MS" w:hAnsi="Times New Roman" w:cs="Arial Unicode MS"/>
      <w:kern w:val="1"/>
      <w:sz w:val="20"/>
      <w:szCs w:val="20"/>
      <w:lang w:bidi="hi-IN"/>
    </w:rPr>
  </w:style>
  <w:style w:type="paragraph" w:customStyle="1" w:styleId="Default">
    <w:name w:val="Default"/>
    <w:basedOn w:val="Normal"/>
    <w:qFormat/>
    <w:rsid w:val="003F738B"/>
    <w:pPr>
      <w:widowControl w:val="0"/>
      <w:suppressAutoHyphens/>
      <w:spacing w:after="0" w:line="240" w:lineRule="auto"/>
    </w:pPr>
    <w:rPr>
      <w:rFonts w:ascii="Times New Roman" w:eastAsia="Times New Roman" w:hAnsi="Times New Roman"/>
      <w:color w:val="000000"/>
      <w:kern w:val="1"/>
      <w:sz w:val="24"/>
      <w:szCs w:val="24"/>
      <w:lang w:bidi="hi-IN"/>
    </w:rPr>
  </w:style>
  <w:style w:type="paragraph" w:customStyle="1" w:styleId="Pa2">
    <w:name w:val="Pa2"/>
    <w:basedOn w:val="Default"/>
    <w:next w:val="Default"/>
    <w:qFormat/>
    <w:rsid w:val="003F738B"/>
    <w:pPr>
      <w:spacing w:line="221" w:lineRule="atLeast"/>
    </w:pPr>
    <w:rPr>
      <w:rFonts w:eastAsia="Arial Unicode MS" w:cs="Arial Unicode MS"/>
      <w:color w:val="auto"/>
    </w:rPr>
  </w:style>
  <w:style w:type="paragraph" w:customStyle="1" w:styleId="En-tte1">
    <w:name w:val="En-tête1"/>
    <w:basedOn w:val="Normal"/>
    <w:qFormat/>
    <w:rsid w:val="003F738B"/>
    <w:pPr>
      <w:tabs>
        <w:tab w:val="center" w:pos="4536"/>
        <w:tab w:val="right" w:pos="9072"/>
      </w:tabs>
      <w:spacing w:after="0" w:line="240" w:lineRule="auto"/>
    </w:pPr>
  </w:style>
  <w:style w:type="paragraph" w:customStyle="1" w:styleId="Pieddepage1">
    <w:name w:val="Pied de page1"/>
    <w:basedOn w:val="Normal"/>
    <w:qFormat/>
    <w:rsid w:val="003F738B"/>
    <w:pPr>
      <w:tabs>
        <w:tab w:val="center" w:pos="4536"/>
        <w:tab w:val="right" w:pos="9072"/>
      </w:tabs>
      <w:spacing w:after="0" w:line="240" w:lineRule="auto"/>
    </w:pPr>
  </w:style>
  <w:style w:type="paragraph" w:styleId="Textedebulles">
    <w:name w:val="Balloon Text"/>
    <w:basedOn w:val="Normal"/>
    <w:qFormat/>
    <w:rsid w:val="003F738B"/>
    <w:pPr>
      <w:spacing w:after="0" w:line="240" w:lineRule="auto"/>
    </w:pPr>
    <w:rPr>
      <w:rFonts w:ascii="Tahoma" w:hAnsi="Tahoma" w:cs="Tahoma"/>
      <w:sz w:val="16"/>
      <w:szCs w:val="16"/>
    </w:rPr>
  </w:style>
  <w:style w:type="character" w:customStyle="1" w:styleId="Corpsdetexte3Car">
    <w:name w:val="Corps de texte 3 Car"/>
    <w:basedOn w:val="Policepardfaut"/>
    <w:rsid w:val="003F738B"/>
    <w:rPr>
      <w:rFonts w:ascii="Times New Roman" w:eastAsia="Arial Unicode MS" w:hAnsi="Times New Roman" w:cs="Mangal"/>
      <w:kern w:val="1"/>
      <w:sz w:val="16"/>
      <w:szCs w:val="14"/>
      <w:lang w:bidi="hi-IN"/>
    </w:rPr>
  </w:style>
  <w:style w:type="character" w:styleId="Lienhypertexte">
    <w:name w:val="Hyperlink"/>
    <w:rsid w:val="003F738B"/>
    <w:rPr>
      <w:color w:val="000080"/>
      <w:u w:val="single"/>
    </w:rPr>
  </w:style>
  <w:style w:type="character" w:customStyle="1" w:styleId="Titre1Car">
    <w:name w:val="Titre 1 Car"/>
    <w:basedOn w:val="Policepardfaut"/>
    <w:rsid w:val="003F738B"/>
    <w:rPr>
      <w:rFonts w:ascii="Times New Roman" w:eastAsia="Arial Unicode MS" w:hAnsi="Times New Roman" w:cs="Arial Unicode MS"/>
      <w:bCs/>
      <w:color w:val="FF6600"/>
      <w:kern w:val="1"/>
      <w:sz w:val="28"/>
      <w:szCs w:val="28"/>
      <w:lang w:bidi="hi-IN"/>
    </w:rPr>
  </w:style>
  <w:style w:type="character" w:customStyle="1" w:styleId="Appelnotedebasdep1">
    <w:name w:val="Appel note de bas de p.1"/>
    <w:rsid w:val="003F738B"/>
    <w:rPr>
      <w:vertAlign w:val="superscript"/>
    </w:rPr>
  </w:style>
  <w:style w:type="character" w:styleId="lev">
    <w:name w:val="Strong"/>
    <w:rsid w:val="003F738B"/>
    <w:rPr>
      <w:b/>
      <w:bCs/>
    </w:rPr>
  </w:style>
  <w:style w:type="character" w:customStyle="1" w:styleId="Caractresdenotedebasdepage">
    <w:name w:val="Caractères de note de bas de page"/>
    <w:rsid w:val="003F738B"/>
  </w:style>
  <w:style w:type="character" w:customStyle="1" w:styleId="NotedebasdepageCar">
    <w:name w:val="Note de bas de page Car"/>
    <w:basedOn w:val="Policepardfaut"/>
    <w:rsid w:val="003F738B"/>
    <w:rPr>
      <w:rFonts w:ascii="Times New Roman" w:eastAsia="Arial Unicode MS" w:hAnsi="Times New Roman" w:cs="Arial Unicode MS"/>
      <w:kern w:val="1"/>
      <w:sz w:val="20"/>
      <w:szCs w:val="20"/>
      <w:lang w:bidi="hi-IN"/>
    </w:rPr>
  </w:style>
  <w:style w:type="character" w:customStyle="1" w:styleId="En-tteCar">
    <w:name w:val="En-tête Car"/>
    <w:basedOn w:val="Policepardfaut"/>
    <w:rsid w:val="003F738B"/>
  </w:style>
  <w:style w:type="character" w:customStyle="1" w:styleId="PieddepageCar">
    <w:name w:val="Pied de page Car"/>
    <w:basedOn w:val="Policepardfaut"/>
    <w:rsid w:val="003F738B"/>
  </w:style>
  <w:style w:type="character" w:customStyle="1" w:styleId="TextedebullesCar">
    <w:name w:val="Texte de bulles Car"/>
    <w:basedOn w:val="Policepardfaut"/>
    <w:rsid w:val="003F73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paysages.auvergne.gouv.fr/cartes-departementales-des-paysages-a587.html" TargetMode="External"/><Relationship Id="rId1" Type="http://schemas.openxmlformats.org/officeDocument/2006/relationships/hyperlink" Target="http://www.paysages.auvergne.gouv.fr/1-09-mezenc-a47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Arial Unicode MS"/>
        <a:cs typeface="Arial Unicode MS"/>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0EB97-DB4E-446A-9749-4627DC906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4496</Words>
  <Characters>24734</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cordonnier christian</dc:creator>
  <cp:lastModifiedBy>REYNAUD Michel Noé</cp:lastModifiedBy>
  <cp:revision>2</cp:revision>
  <dcterms:created xsi:type="dcterms:W3CDTF">2018-06-19T09:57:00Z</dcterms:created>
  <dcterms:modified xsi:type="dcterms:W3CDTF">2018-06-19T09:57:00Z</dcterms:modified>
</cp:coreProperties>
</file>