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C6" w:rsidRDefault="009B3906" w:rsidP="009B3906">
      <w:pPr>
        <w:jc w:val="center"/>
        <w:rPr>
          <w:sz w:val="28"/>
          <w:szCs w:val="28"/>
        </w:rPr>
      </w:pPr>
      <w:r w:rsidRPr="00BE34FA">
        <w:rPr>
          <w:sz w:val="28"/>
          <w:szCs w:val="28"/>
        </w:rPr>
        <w:t>RAPPORT DE TRESORERIE 202</w:t>
      </w:r>
      <w:r w:rsidR="00F118E4">
        <w:rPr>
          <w:sz w:val="28"/>
          <w:szCs w:val="28"/>
        </w:rPr>
        <w:t>4</w:t>
      </w:r>
    </w:p>
    <w:p w:rsidR="009A6CD2" w:rsidRDefault="009A6CD2" w:rsidP="009B39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SALLE </w:t>
      </w:r>
      <w:r w:rsidR="00F118E4">
        <w:rPr>
          <w:sz w:val="28"/>
          <w:szCs w:val="28"/>
        </w:rPr>
        <w:t>DE REUNION LA MAIRIE DES ESTABLES</w:t>
      </w:r>
    </w:p>
    <w:p w:rsidR="009A6CD2" w:rsidRPr="00BE34FA" w:rsidRDefault="00F118E4" w:rsidP="009B3906">
      <w:pPr>
        <w:jc w:val="center"/>
        <w:rPr>
          <w:sz w:val="28"/>
          <w:szCs w:val="28"/>
        </w:rPr>
      </w:pPr>
      <w:r>
        <w:rPr>
          <w:sz w:val="28"/>
          <w:szCs w:val="28"/>
        </w:rPr>
        <w:t>SAMEDI 5</w:t>
      </w:r>
      <w:r w:rsidR="009A6CD2">
        <w:rPr>
          <w:sz w:val="28"/>
          <w:szCs w:val="28"/>
        </w:rPr>
        <w:t xml:space="preserve"> JUILLET 202</w:t>
      </w:r>
      <w:r>
        <w:rPr>
          <w:sz w:val="28"/>
          <w:szCs w:val="28"/>
        </w:rPr>
        <w:t>5</w:t>
      </w:r>
    </w:p>
    <w:p w:rsidR="009B3906" w:rsidRPr="00BE34FA" w:rsidRDefault="009B3906" w:rsidP="009B3906">
      <w:pPr>
        <w:rPr>
          <w:sz w:val="28"/>
          <w:szCs w:val="28"/>
        </w:rPr>
      </w:pPr>
    </w:p>
    <w:p w:rsidR="003101B2" w:rsidRDefault="009B3906" w:rsidP="009B3906">
      <w:pPr>
        <w:rPr>
          <w:sz w:val="26"/>
          <w:szCs w:val="26"/>
        </w:rPr>
      </w:pPr>
      <w:r w:rsidRPr="009A6CD2">
        <w:rPr>
          <w:sz w:val="26"/>
          <w:szCs w:val="26"/>
        </w:rPr>
        <w:t>Cette année 202</w:t>
      </w:r>
      <w:r w:rsidR="00F118E4">
        <w:rPr>
          <w:sz w:val="26"/>
          <w:szCs w:val="26"/>
        </w:rPr>
        <w:t xml:space="preserve">4 </w:t>
      </w:r>
      <w:r w:rsidR="0000580B">
        <w:rPr>
          <w:sz w:val="26"/>
          <w:szCs w:val="26"/>
        </w:rPr>
        <w:t xml:space="preserve">en </w:t>
      </w:r>
      <w:r w:rsidR="002F30A2">
        <w:rPr>
          <w:sz w:val="26"/>
          <w:szCs w:val="26"/>
        </w:rPr>
        <w:t>termes</w:t>
      </w:r>
      <w:r w:rsidR="0000580B">
        <w:rPr>
          <w:sz w:val="26"/>
          <w:szCs w:val="26"/>
        </w:rPr>
        <w:t xml:space="preserve"> de trésorerie, nous sommes entrés dans le dur. </w:t>
      </w:r>
      <w:r w:rsidR="00535F56">
        <w:rPr>
          <w:sz w:val="26"/>
          <w:szCs w:val="26"/>
        </w:rPr>
        <w:t xml:space="preserve">Ce </w:t>
      </w:r>
      <w:r w:rsidR="003C7892">
        <w:rPr>
          <w:sz w:val="26"/>
          <w:szCs w:val="26"/>
        </w:rPr>
        <w:t xml:space="preserve">sont les dépenses d’honoraires </w:t>
      </w:r>
      <w:r w:rsidR="00535F56">
        <w:rPr>
          <w:sz w:val="26"/>
          <w:szCs w:val="26"/>
        </w:rPr>
        <w:t>pour nos actions en justice q</w:t>
      </w:r>
      <w:r w:rsidR="003C7892">
        <w:rPr>
          <w:sz w:val="26"/>
          <w:szCs w:val="26"/>
        </w:rPr>
        <w:t xml:space="preserve">ui ont </w:t>
      </w:r>
      <w:r w:rsidR="00535F56">
        <w:rPr>
          <w:sz w:val="26"/>
          <w:szCs w:val="26"/>
        </w:rPr>
        <w:t xml:space="preserve">pesé lourdement sur nos équilibres financiers. </w:t>
      </w:r>
    </w:p>
    <w:p w:rsidR="003630F0" w:rsidRDefault="003101B2" w:rsidP="009B3906">
      <w:pPr>
        <w:rPr>
          <w:sz w:val="26"/>
          <w:szCs w:val="26"/>
        </w:rPr>
      </w:pPr>
      <w:r>
        <w:rPr>
          <w:sz w:val="26"/>
          <w:szCs w:val="26"/>
        </w:rPr>
        <w:t xml:space="preserve">Dans notre prévisionnel nous avions inscrit cette ligne de dépense élevée et fait l’hypothèse de devoir puiser sur notre </w:t>
      </w:r>
      <w:r w:rsidR="003630F0">
        <w:rPr>
          <w:sz w:val="26"/>
          <w:szCs w:val="26"/>
        </w:rPr>
        <w:t>matelas de trésorerie constitué jusque-là.</w:t>
      </w:r>
    </w:p>
    <w:p w:rsidR="003630F0" w:rsidRDefault="003630F0" w:rsidP="009B3906">
      <w:pPr>
        <w:rPr>
          <w:sz w:val="26"/>
          <w:szCs w:val="26"/>
        </w:rPr>
      </w:pPr>
      <w:r>
        <w:rPr>
          <w:sz w:val="26"/>
          <w:szCs w:val="26"/>
        </w:rPr>
        <w:t>Dans les faits</w:t>
      </w:r>
      <w:r w:rsidR="001B304E">
        <w:rPr>
          <w:sz w:val="26"/>
          <w:szCs w:val="26"/>
        </w:rPr>
        <w:t>,</w:t>
      </w:r>
      <w:r>
        <w:rPr>
          <w:sz w:val="26"/>
          <w:szCs w:val="26"/>
        </w:rPr>
        <w:t xml:space="preserve"> cette année 2024</w:t>
      </w:r>
      <w:r w:rsidR="001B30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s’est traduite par un parfait équilibre puisque nous avons dégagé un résultat de 63€. </w:t>
      </w:r>
      <w:r w:rsidR="001B304E">
        <w:rPr>
          <w:sz w:val="26"/>
          <w:szCs w:val="26"/>
        </w:rPr>
        <w:t>Nous avons eu en effet 8744</w:t>
      </w:r>
      <w:r w:rsidR="001B304E">
        <w:rPr>
          <w:sz w:val="26"/>
          <w:szCs w:val="26"/>
          <w:vertAlign w:val="superscript"/>
        </w:rPr>
        <w:t xml:space="preserve"> </w:t>
      </w:r>
      <w:r w:rsidR="001B304E">
        <w:rPr>
          <w:sz w:val="26"/>
          <w:szCs w:val="26"/>
        </w:rPr>
        <w:t>€ de recettes pour 8807€  de dépenses.</w:t>
      </w:r>
    </w:p>
    <w:p w:rsidR="007B6A6C" w:rsidRDefault="007B6A6C" w:rsidP="00250775">
      <w:pPr>
        <w:rPr>
          <w:b/>
          <w:sz w:val="26"/>
          <w:szCs w:val="26"/>
        </w:rPr>
      </w:pPr>
      <w:r>
        <w:rPr>
          <w:b/>
          <w:sz w:val="26"/>
          <w:szCs w:val="26"/>
        </w:rPr>
        <w:t>Voyons donc maintenant comment ce résultat économique a été obtenu.</w:t>
      </w:r>
    </w:p>
    <w:p w:rsidR="00FB496A" w:rsidRDefault="00D9449F" w:rsidP="00250775">
      <w:pPr>
        <w:rPr>
          <w:sz w:val="26"/>
          <w:szCs w:val="26"/>
        </w:rPr>
      </w:pPr>
      <w:r>
        <w:rPr>
          <w:sz w:val="26"/>
          <w:szCs w:val="26"/>
        </w:rPr>
        <w:t xml:space="preserve">Les dépenses en 2024 se sont élevées </w:t>
      </w:r>
      <w:r w:rsidR="00FB496A">
        <w:rPr>
          <w:sz w:val="26"/>
          <w:szCs w:val="26"/>
        </w:rPr>
        <w:t xml:space="preserve">au niveau </w:t>
      </w:r>
      <w:r>
        <w:rPr>
          <w:sz w:val="26"/>
          <w:szCs w:val="26"/>
        </w:rPr>
        <w:t>record</w:t>
      </w:r>
      <w:r w:rsidR="004638B7">
        <w:rPr>
          <w:sz w:val="26"/>
          <w:szCs w:val="26"/>
        </w:rPr>
        <w:t xml:space="preserve"> de </w:t>
      </w:r>
      <w:r w:rsidR="00FB496A">
        <w:rPr>
          <w:sz w:val="26"/>
          <w:szCs w:val="26"/>
        </w:rPr>
        <w:t>8744 €</w:t>
      </w:r>
    </w:p>
    <w:p w:rsidR="00FB496A" w:rsidRDefault="00FB496A" w:rsidP="00250775">
      <w:pPr>
        <w:rPr>
          <w:sz w:val="26"/>
          <w:szCs w:val="26"/>
        </w:rPr>
      </w:pPr>
      <w:r>
        <w:rPr>
          <w:sz w:val="26"/>
          <w:szCs w:val="26"/>
        </w:rPr>
        <w:t>Les honoraires versés à nos avocats s’élèvent à 7200€ et représentent ainsi</w:t>
      </w:r>
    </w:p>
    <w:p w:rsidR="00EE7F4F" w:rsidRDefault="00FB496A" w:rsidP="00250775">
      <w:pPr>
        <w:rPr>
          <w:sz w:val="26"/>
          <w:szCs w:val="26"/>
        </w:rPr>
      </w:pPr>
      <w:r>
        <w:rPr>
          <w:sz w:val="26"/>
          <w:szCs w:val="26"/>
        </w:rPr>
        <w:t>82% du total de nos dépenses.</w:t>
      </w:r>
    </w:p>
    <w:p w:rsidR="00EE7F4F" w:rsidRDefault="00EE7F4F" w:rsidP="00250775">
      <w:pPr>
        <w:rPr>
          <w:sz w:val="26"/>
          <w:szCs w:val="26"/>
        </w:rPr>
      </w:pPr>
      <w:r>
        <w:rPr>
          <w:sz w:val="26"/>
          <w:szCs w:val="26"/>
        </w:rPr>
        <w:t>Ils regroupent les 2 factures réglées à Me GRISEL à qui notre association a confié les 2 dossiers des Vastres</w:t>
      </w:r>
      <w:r w:rsidR="00460986">
        <w:rPr>
          <w:sz w:val="26"/>
          <w:szCs w:val="26"/>
        </w:rPr>
        <w:t> concernant :</w:t>
      </w:r>
      <w:r>
        <w:rPr>
          <w:sz w:val="26"/>
          <w:szCs w:val="26"/>
        </w:rPr>
        <w:t xml:space="preserve"> </w:t>
      </w:r>
    </w:p>
    <w:p w:rsidR="00D9449F" w:rsidRDefault="00EE7F4F" w:rsidP="00EE7F4F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L</w:t>
      </w:r>
      <w:r w:rsidR="00623329">
        <w:rPr>
          <w:sz w:val="26"/>
          <w:szCs w:val="26"/>
        </w:rPr>
        <w:t>’élaboration</w:t>
      </w:r>
      <w:r>
        <w:rPr>
          <w:sz w:val="26"/>
          <w:szCs w:val="26"/>
        </w:rPr>
        <w:t xml:space="preserve"> </w:t>
      </w:r>
      <w:r w:rsidR="00623329">
        <w:rPr>
          <w:sz w:val="26"/>
          <w:szCs w:val="26"/>
        </w:rPr>
        <w:t xml:space="preserve">et la gestion du dossier </w:t>
      </w:r>
      <w:r>
        <w:rPr>
          <w:sz w:val="26"/>
          <w:szCs w:val="26"/>
        </w:rPr>
        <w:t>contesta</w:t>
      </w:r>
      <w:r w:rsidR="00623329">
        <w:rPr>
          <w:sz w:val="26"/>
          <w:szCs w:val="26"/>
        </w:rPr>
        <w:t xml:space="preserve">nt </w:t>
      </w:r>
      <w:r>
        <w:rPr>
          <w:sz w:val="26"/>
          <w:szCs w:val="26"/>
        </w:rPr>
        <w:t>l’autorisation environnementale délivrée par le préfet</w:t>
      </w:r>
      <w:r w:rsidR="00623329">
        <w:rPr>
          <w:sz w:val="26"/>
          <w:szCs w:val="26"/>
        </w:rPr>
        <w:t xml:space="preserve"> en août 2023 jusqu’à son aboutissement </w:t>
      </w:r>
      <w:r>
        <w:rPr>
          <w:sz w:val="26"/>
          <w:szCs w:val="26"/>
        </w:rPr>
        <w:t xml:space="preserve">à l’audience du 5 décembre 2024 </w:t>
      </w:r>
      <w:r w:rsidR="00DB628C">
        <w:rPr>
          <w:sz w:val="26"/>
          <w:szCs w:val="26"/>
        </w:rPr>
        <w:t xml:space="preserve">de la CAA de Lyon </w:t>
      </w:r>
      <w:r>
        <w:rPr>
          <w:sz w:val="26"/>
          <w:szCs w:val="26"/>
        </w:rPr>
        <w:t>dont vous connaissez l’issue.</w:t>
      </w:r>
      <w:r w:rsidR="00FB496A" w:rsidRPr="00EE7F4F">
        <w:rPr>
          <w:sz w:val="26"/>
          <w:szCs w:val="26"/>
        </w:rPr>
        <w:t xml:space="preserve"> </w:t>
      </w:r>
      <w:r w:rsidR="00D9449F" w:rsidRPr="00EE7F4F">
        <w:rPr>
          <w:sz w:val="26"/>
          <w:szCs w:val="26"/>
        </w:rPr>
        <w:t xml:space="preserve"> </w:t>
      </w:r>
    </w:p>
    <w:p w:rsidR="00623329" w:rsidRDefault="00DB628C" w:rsidP="00623329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La contestation par recours gr</w:t>
      </w:r>
      <w:r w:rsidR="00387BDE">
        <w:rPr>
          <w:sz w:val="26"/>
          <w:szCs w:val="26"/>
        </w:rPr>
        <w:t>a</w:t>
      </w:r>
      <w:r>
        <w:rPr>
          <w:sz w:val="26"/>
          <w:szCs w:val="26"/>
        </w:rPr>
        <w:t>cieux et recours contentieux auprès du tribunal administratif</w:t>
      </w:r>
      <w:r w:rsidR="00387BDE">
        <w:rPr>
          <w:sz w:val="26"/>
          <w:szCs w:val="26"/>
        </w:rPr>
        <w:t xml:space="preserve"> de Clermont contre le PLUI de la communauté de commune pour sa partie concernant le zonage éolien des Vastres. </w:t>
      </w:r>
    </w:p>
    <w:p w:rsidR="00623329" w:rsidRDefault="00623329" w:rsidP="00623329">
      <w:pPr>
        <w:pStyle w:val="Paragraphedeliste"/>
        <w:ind w:left="0"/>
        <w:rPr>
          <w:sz w:val="26"/>
          <w:szCs w:val="26"/>
        </w:rPr>
      </w:pPr>
    </w:p>
    <w:p w:rsidR="00623329" w:rsidRDefault="00623329" w:rsidP="00623329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 xml:space="preserve">Le reste des dépenses soit 18% du total se répartit </w:t>
      </w:r>
      <w:r w:rsidR="008D1A27">
        <w:rPr>
          <w:sz w:val="26"/>
          <w:szCs w:val="26"/>
        </w:rPr>
        <w:t>comme suit  par ordre décroissant :</w:t>
      </w:r>
    </w:p>
    <w:p w:rsidR="00494ECA" w:rsidRDefault="00494ECA" w:rsidP="00623329">
      <w:pPr>
        <w:pStyle w:val="Paragraphedeliste"/>
        <w:ind w:left="0"/>
        <w:rPr>
          <w:sz w:val="26"/>
          <w:szCs w:val="26"/>
        </w:rPr>
      </w:pPr>
    </w:p>
    <w:p w:rsidR="00F4353D" w:rsidRDefault="00494ECA" w:rsidP="00494ECA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775€ pour la partie numérique ; elle se décompose en </w:t>
      </w:r>
      <w:r w:rsidR="00F4353D">
        <w:rPr>
          <w:sz w:val="26"/>
          <w:szCs w:val="26"/>
        </w:rPr>
        <w:t>676€ pour la partie internet  c'est-à-dire la maintenance de notre site Web et la protection de notre boîte mail qui était antérieurement envahie de messages pirates.</w:t>
      </w:r>
    </w:p>
    <w:p w:rsidR="00523BA8" w:rsidRDefault="00F4353D" w:rsidP="00F4353D">
      <w:pPr>
        <w:pStyle w:val="Paragraphedelist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D’autre part nous consacrons 99€ </w:t>
      </w:r>
      <w:r w:rsidR="00523BA8">
        <w:rPr>
          <w:sz w:val="26"/>
          <w:szCs w:val="26"/>
        </w:rPr>
        <w:t>pour l’abonnement à l’utilisation de notre logiciel comptable avec lequel en plus de la comptabilité classique nous pouvons tirer des statistiques précieuses concernant nos adhérents.</w:t>
      </w:r>
    </w:p>
    <w:p w:rsidR="00523BA8" w:rsidRDefault="00523BA8" w:rsidP="00523BA8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C’est ensuite 290€ que nous versons à des associations amies. A noter que ce poste de dépense est compensé par des recettes équivalentes puisque nous procédons par ce que l’on appelle des adhésions croisées. </w:t>
      </w:r>
    </w:p>
    <w:p w:rsidR="00A9304E" w:rsidRDefault="00A9304E" w:rsidP="00523BA8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Le 3° poste de dépenses qui représente 136€ correspond à des frais de </w:t>
      </w:r>
      <w:r w:rsidR="002F30A2">
        <w:rPr>
          <w:sz w:val="26"/>
          <w:szCs w:val="26"/>
        </w:rPr>
        <w:t>réception</w:t>
      </w:r>
      <w:r>
        <w:rPr>
          <w:sz w:val="26"/>
          <w:szCs w:val="26"/>
        </w:rPr>
        <w:t xml:space="preserve"> à l’occasion de l’assemblée générale et du </w:t>
      </w:r>
      <w:r w:rsidR="00E4786E">
        <w:rPr>
          <w:sz w:val="26"/>
          <w:szCs w:val="26"/>
        </w:rPr>
        <w:t xml:space="preserve">cocktail du </w:t>
      </w:r>
      <w:r>
        <w:rPr>
          <w:sz w:val="26"/>
          <w:szCs w:val="26"/>
        </w:rPr>
        <w:t>vernissage de l’exposition.</w:t>
      </w:r>
    </w:p>
    <w:p w:rsidR="00A9304E" w:rsidRDefault="00A9304E" w:rsidP="00523BA8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En 4° lieu arrivent les frais de notre assurance multirisque pour un montant de 117€.</w:t>
      </w:r>
    </w:p>
    <w:p w:rsidR="00A84FDC" w:rsidRDefault="00E4786E" w:rsidP="00A84FDC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Viennent ensuite les actions de communication, publicité, promotion, relations publiques pour 97€ puis les fournitures administratives 67€, les frais postaux 46€ et enfin les frais bancaires 16€.</w:t>
      </w:r>
    </w:p>
    <w:p w:rsidR="00A84FDC" w:rsidRDefault="00A84FDC" w:rsidP="00A84FDC">
      <w:pPr>
        <w:pStyle w:val="Paragraphedeliste"/>
        <w:ind w:left="0"/>
        <w:rPr>
          <w:sz w:val="26"/>
          <w:szCs w:val="26"/>
        </w:rPr>
      </w:pPr>
    </w:p>
    <w:p w:rsidR="00C84B2B" w:rsidRPr="00917542" w:rsidRDefault="00C84B2B" w:rsidP="00A84FDC">
      <w:pPr>
        <w:pStyle w:val="Paragraphedeliste"/>
        <w:ind w:left="0"/>
        <w:rPr>
          <w:b/>
          <w:sz w:val="26"/>
          <w:szCs w:val="26"/>
          <w:u w:val="single"/>
        </w:rPr>
      </w:pPr>
      <w:r w:rsidRPr="00917542">
        <w:rPr>
          <w:b/>
          <w:sz w:val="26"/>
          <w:szCs w:val="26"/>
          <w:u w:val="single"/>
        </w:rPr>
        <w:t>Projection sur 2025</w:t>
      </w:r>
    </w:p>
    <w:p w:rsidR="00C84B2B" w:rsidRDefault="00C84B2B" w:rsidP="00A84FDC">
      <w:pPr>
        <w:pStyle w:val="Paragraphedeliste"/>
        <w:ind w:left="0"/>
        <w:rPr>
          <w:sz w:val="26"/>
          <w:szCs w:val="26"/>
        </w:rPr>
      </w:pPr>
    </w:p>
    <w:p w:rsidR="00A84FDC" w:rsidRDefault="00A84FDC" w:rsidP="00A84FDC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>Lorsque nous faisons une prévision des frais auxquels nous devrons faire face en 2025 compte tenu des actions juridiques engagées cette année 2024, nous obtenons les chiffres suivants :</w:t>
      </w:r>
    </w:p>
    <w:p w:rsidR="00A84FDC" w:rsidRDefault="00A84FDC" w:rsidP="00A84FDC">
      <w:pPr>
        <w:pStyle w:val="Paragraphedeliste"/>
        <w:ind w:left="0"/>
        <w:rPr>
          <w:sz w:val="26"/>
          <w:szCs w:val="26"/>
        </w:rPr>
      </w:pPr>
      <w:r w:rsidRPr="00397E62">
        <w:rPr>
          <w:sz w:val="26"/>
          <w:szCs w:val="26"/>
          <w:u w:val="single"/>
        </w:rPr>
        <w:t>Hypothèse basse</w:t>
      </w:r>
      <w:r w:rsidR="00C84B2B">
        <w:rPr>
          <w:sz w:val="26"/>
          <w:szCs w:val="26"/>
        </w:rPr>
        <w:t> </w:t>
      </w:r>
      <w:proofErr w:type="gramStart"/>
      <w:r w:rsidR="00C84B2B">
        <w:rPr>
          <w:sz w:val="26"/>
          <w:szCs w:val="26"/>
        </w:rPr>
        <w:t>:</w:t>
      </w:r>
      <w:r w:rsidR="00397E62">
        <w:rPr>
          <w:sz w:val="26"/>
          <w:szCs w:val="26"/>
        </w:rPr>
        <w:t xml:space="preserve"> </w:t>
      </w:r>
      <w:r w:rsidR="00C84B2B">
        <w:rPr>
          <w:sz w:val="26"/>
          <w:szCs w:val="26"/>
        </w:rPr>
        <w:t xml:space="preserve"> S</w:t>
      </w:r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 xml:space="preserve"> nous gagnons au Conseil d’</w:t>
      </w:r>
      <w:r w:rsidR="00C84B2B">
        <w:rPr>
          <w:sz w:val="26"/>
          <w:szCs w:val="26"/>
        </w:rPr>
        <w:t xml:space="preserve">Etat et devant le </w:t>
      </w:r>
      <w:r>
        <w:rPr>
          <w:sz w:val="26"/>
          <w:szCs w:val="26"/>
        </w:rPr>
        <w:t>tribunal administratif</w:t>
      </w:r>
      <w:r w:rsidR="00C84B2B">
        <w:rPr>
          <w:sz w:val="26"/>
          <w:szCs w:val="26"/>
        </w:rPr>
        <w:t> : - 12500 €</w:t>
      </w:r>
      <w:r>
        <w:rPr>
          <w:sz w:val="26"/>
          <w:szCs w:val="26"/>
        </w:rPr>
        <w:t>.</w:t>
      </w:r>
    </w:p>
    <w:p w:rsidR="00460986" w:rsidRDefault="00A84FDC" w:rsidP="00460986">
      <w:pPr>
        <w:pStyle w:val="Paragraphedeliste"/>
        <w:ind w:left="0"/>
        <w:rPr>
          <w:sz w:val="26"/>
          <w:szCs w:val="26"/>
        </w:rPr>
      </w:pPr>
      <w:r w:rsidRPr="00397E62">
        <w:rPr>
          <w:sz w:val="26"/>
          <w:szCs w:val="26"/>
          <w:u w:val="single"/>
        </w:rPr>
        <w:t xml:space="preserve"> </w:t>
      </w:r>
      <w:r w:rsidR="00C84B2B" w:rsidRPr="00397E62">
        <w:rPr>
          <w:sz w:val="26"/>
          <w:szCs w:val="26"/>
          <w:u w:val="single"/>
        </w:rPr>
        <w:t>Hypothèse haute</w:t>
      </w:r>
      <w:r w:rsidR="00C84B2B">
        <w:rPr>
          <w:sz w:val="26"/>
          <w:szCs w:val="26"/>
        </w:rPr>
        <w:t> </w:t>
      </w:r>
      <w:proofErr w:type="gramStart"/>
      <w:r w:rsidR="00C84B2B">
        <w:rPr>
          <w:sz w:val="26"/>
          <w:szCs w:val="26"/>
        </w:rPr>
        <w:t>:</w:t>
      </w:r>
      <w:r w:rsidR="00397E62">
        <w:rPr>
          <w:sz w:val="26"/>
          <w:szCs w:val="26"/>
        </w:rPr>
        <w:t xml:space="preserve"> </w:t>
      </w:r>
      <w:r w:rsidR="00C84B2B">
        <w:rPr>
          <w:sz w:val="26"/>
          <w:szCs w:val="26"/>
        </w:rPr>
        <w:t xml:space="preserve"> Si</w:t>
      </w:r>
      <w:proofErr w:type="gramEnd"/>
      <w:r w:rsidR="00C84B2B">
        <w:rPr>
          <w:sz w:val="26"/>
          <w:szCs w:val="26"/>
        </w:rPr>
        <w:t xml:space="preserve"> nous perdons devant ces 2 instances nous débourserons : -17000€.</w:t>
      </w:r>
    </w:p>
    <w:p w:rsidR="00C84B2B" w:rsidRDefault="00C84B2B" w:rsidP="00460986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 xml:space="preserve">Ces sommes seraient néanmoins </w:t>
      </w:r>
      <w:r w:rsidR="00CD5B4F">
        <w:rPr>
          <w:sz w:val="26"/>
          <w:szCs w:val="26"/>
        </w:rPr>
        <w:t xml:space="preserve">réduites </w:t>
      </w:r>
      <w:r>
        <w:rPr>
          <w:sz w:val="26"/>
          <w:szCs w:val="26"/>
        </w:rPr>
        <w:t>de 3000€</w:t>
      </w:r>
      <w:r w:rsidR="00397E6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montant de l</w:t>
      </w:r>
      <w:r w:rsidR="00397E62">
        <w:rPr>
          <w:sz w:val="26"/>
          <w:szCs w:val="26"/>
        </w:rPr>
        <w:t>’aide</w:t>
      </w:r>
      <w:r>
        <w:rPr>
          <w:sz w:val="26"/>
          <w:szCs w:val="26"/>
        </w:rPr>
        <w:t xml:space="preserve"> que nous propose la LPO pour participer aux frais d’avocats. Nous les remercions chaleureusement </w:t>
      </w:r>
    </w:p>
    <w:p w:rsidR="00C84B2B" w:rsidRDefault="00C84B2B" w:rsidP="00460986">
      <w:pPr>
        <w:pStyle w:val="Paragraphedeliste"/>
        <w:ind w:left="0"/>
        <w:rPr>
          <w:sz w:val="26"/>
          <w:szCs w:val="26"/>
        </w:rPr>
      </w:pPr>
    </w:p>
    <w:p w:rsidR="00460986" w:rsidRDefault="00460986" w:rsidP="00460986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 xml:space="preserve">Nous remercions </w:t>
      </w:r>
      <w:r w:rsidR="00C84B2B">
        <w:rPr>
          <w:sz w:val="26"/>
          <w:szCs w:val="26"/>
        </w:rPr>
        <w:t xml:space="preserve">surtout </w:t>
      </w:r>
      <w:r>
        <w:rPr>
          <w:sz w:val="26"/>
          <w:szCs w:val="26"/>
        </w:rPr>
        <w:t>tous nos adhérents fidèles et plus particulièrement nos donateurs qui nous permettent de passer les étapes cruciales chaque année.</w:t>
      </w:r>
    </w:p>
    <w:p w:rsidR="00460986" w:rsidRDefault="00460986" w:rsidP="00460986">
      <w:pPr>
        <w:pStyle w:val="Paragraphedeliste"/>
        <w:ind w:left="0"/>
        <w:rPr>
          <w:sz w:val="26"/>
          <w:szCs w:val="26"/>
        </w:rPr>
      </w:pPr>
    </w:p>
    <w:p w:rsidR="00460986" w:rsidRDefault="00460986" w:rsidP="00460986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La Trésorière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Le Président</w:t>
      </w:r>
    </w:p>
    <w:p w:rsidR="00E4786E" w:rsidRPr="00E4786E" w:rsidRDefault="00460986" w:rsidP="00460986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ab/>
        <w:t>Isabelle LEGRAND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Jean MARTIN</w:t>
      </w:r>
    </w:p>
    <w:p w:rsidR="00494ECA" w:rsidRPr="00623329" w:rsidRDefault="00F4353D" w:rsidP="00F4353D">
      <w:pPr>
        <w:pStyle w:val="Paragraphedeliste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494ECA" w:rsidRPr="00623329" w:rsidSect="00C84B2B">
      <w:pgSz w:w="11906" w:h="16838"/>
      <w:pgMar w:top="1560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135"/>
    <w:multiLevelType w:val="hybridMultilevel"/>
    <w:tmpl w:val="38744842"/>
    <w:lvl w:ilvl="0" w:tplc="544A14A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953141"/>
    <w:multiLevelType w:val="hybridMultilevel"/>
    <w:tmpl w:val="B8BEFA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3223D"/>
    <w:multiLevelType w:val="hybridMultilevel"/>
    <w:tmpl w:val="E9702CB6"/>
    <w:lvl w:ilvl="0" w:tplc="C97C3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77114"/>
    <w:multiLevelType w:val="hybridMultilevel"/>
    <w:tmpl w:val="B53E8AC4"/>
    <w:lvl w:ilvl="0" w:tplc="0388C6F8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ED7309"/>
    <w:multiLevelType w:val="hybridMultilevel"/>
    <w:tmpl w:val="344CCCA2"/>
    <w:lvl w:ilvl="0" w:tplc="7086458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9371734"/>
    <w:multiLevelType w:val="hybridMultilevel"/>
    <w:tmpl w:val="1CE6230A"/>
    <w:lvl w:ilvl="0" w:tplc="631C992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B3906"/>
    <w:rsid w:val="0000580B"/>
    <w:rsid w:val="00006717"/>
    <w:rsid w:val="00035A08"/>
    <w:rsid w:val="000573D6"/>
    <w:rsid w:val="0006026E"/>
    <w:rsid w:val="000B0A2C"/>
    <w:rsid w:val="000F4F1C"/>
    <w:rsid w:val="0010307F"/>
    <w:rsid w:val="00112EAC"/>
    <w:rsid w:val="00113DD0"/>
    <w:rsid w:val="0015537C"/>
    <w:rsid w:val="00175DFA"/>
    <w:rsid w:val="0017716A"/>
    <w:rsid w:val="001B304E"/>
    <w:rsid w:val="001B7E38"/>
    <w:rsid w:val="00226282"/>
    <w:rsid w:val="00232DEA"/>
    <w:rsid w:val="00250775"/>
    <w:rsid w:val="00256A36"/>
    <w:rsid w:val="00294D87"/>
    <w:rsid w:val="002D1D07"/>
    <w:rsid w:val="002F30A2"/>
    <w:rsid w:val="003101B2"/>
    <w:rsid w:val="00330FF7"/>
    <w:rsid w:val="003311C9"/>
    <w:rsid w:val="003453CB"/>
    <w:rsid w:val="003630F0"/>
    <w:rsid w:val="003674E9"/>
    <w:rsid w:val="00387BDE"/>
    <w:rsid w:val="00397E62"/>
    <w:rsid w:val="003B1729"/>
    <w:rsid w:val="003B3147"/>
    <w:rsid w:val="003C7892"/>
    <w:rsid w:val="003D5DFC"/>
    <w:rsid w:val="003F0EA4"/>
    <w:rsid w:val="003F16E7"/>
    <w:rsid w:val="004049F9"/>
    <w:rsid w:val="00406A6B"/>
    <w:rsid w:val="00412255"/>
    <w:rsid w:val="004339B3"/>
    <w:rsid w:val="004546AC"/>
    <w:rsid w:val="00460986"/>
    <w:rsid w:val="004638B7"/>
    <w:rsid w:val="004733FB"/>
    <w:rsid w:val="004879E6"/>
    <w:rsid w:val="00492C0E"/>
    <w:rsid w:val="00494ECA"/>
    <w:rsid w:val="004C68C2"/>
    <w:rsid w:val="004E59B4"/>
    <w:rsid w:val="00500734"/>
    <w:rsid w:val="00523BA8"/>
    <w:rsid w:val="00535F56"/>
    <w:rsid w:val="00553B53"/>
    <w:rsid w:val="005800AA"/>
    <w:rsid w:val="00594FC6"/>
    <w:rsid w:val="005B1F1B"/>
    <w:rsid w:val="005C29CB"/>
    <w:rsid w:val="005C4C5E"/>
    <w:rsid w:val="005D2E71"/>
    <w:rsid w:val="005E2545"/>
    <w:rsid w:val="00604E93"/>
    <w:rsid w:val="00623329"/>
    <w:rsid w:val="00675601"/>
    <w:rsid w:val="006B6CED"/>
    <w:rsid w:val="006D40B3"/>
    <w:rsid w:val="00744D84"/>
    <w:rsid w:val="00745C88"/>
    <w:rsid w:val="00751040"/>
    <w:rsid w:val="00770606"/>
    <w:rsid w:val="007A300D"/>
    <w:rsid w:val="007B6A6C"/>
    <w:rsid w:val="007B743E"/>
    <w:rsid w:val="007C2340"/>
    <w:rsid w:val="007E140C"/>
    <w:rsid w:val="00803BC7"/>
    <w:rsid w:val="00885C96"/>
    <w:rsid w:val="008918CB"/>
    <w:rsid w:val="00895F15"/>
    <w:rsid w:val="008A3B42"/>
    <w:rsid w:val="008A7AB5"/>
    <w:rsid w:val="008C552E"/>
    <w:rsid w:val="008D1A27"/>
    <w:rsid w:val="008D747B"/>
    <w:rsid w:val="008F2D0D"/>
    <w:rsid w:val="009069EC"/>
    <w:rsid w:val="00917542"/>
    <w:rsid w:val="00940A35"/>
    <w:rsid w:val="009468E2"/>
    <w:rsid w:val="00956354"/>
    <w:rsid w:val="00972E92"/>
    <w:rsid w:val="0098036C"/>
    <w:rsid w:val="00987840"/>
    <w:rsid w:val="00987941"/>
    <w:rsid w:val="009A2849"/>
    <w:rsid w:val="009A6ADD"/>
    <w:rsid w:val="009A6CD2"/>
    <w:rsid w:val="009B3906"/>
    <w:rsid w:val="009F5FD4"/>
    <w:rsid w:val="009F6CAF"/>
    <w:rsid w:val="00A00DD3"/>
    <w:rsid w:val="00A040D0"/>
    <w:rsid w:val="00A22806"/>
    <w:rsid w:val="00A51542"/>
    <w:rsid w:val="00A564D3"/>
    <w:rsid w:val="00A57B23"/>
    <w:rsid w:val="00A84FDC"/>
    <w:rsid w:val="00A9304E"/>
    <w:rsid w:val="00A93F14"/>
    <w:rsid w:val="00AE1C88"/>
    <w:rsid w:val="00AF4F7C"/>
    <w:rsid w:val="00B00E68"/>
    <w:rsid w:val="00B02C49"/>
    <w:rsid w:val="00B067DF"/>
    <w:rsid w:val="00B202DA"/>
    <w:rsid w:val="00B77149"/>
    <w:rsid w:val="00B9488C"/>
    <w:rsid w:val="00B956EC"/>
    <w:rsid w:val="00BB3902"/>
    <w:rsid w:val="00BE34FA"/>
    <w:rsid w:val="00C002FD"/>
    <w:rsid w:val="00C071AE"/>
    <w:rsid w:val="00C208F0"/>
    <w:rsid w:val="00C50901"/>
    <w:rsid w:val="00C55DAE"/>
    <w:rsid w:val="00C647D7"/>
    <w:rsid w:val="00C8335E"/>
    <w:rsid w:val="00C836F6"/>
    <w:rsid w:val="00C84B2B"/>
    <w:rsid w:val="00C94C2C"/>
    <w:rsid w:val="00CB01DE"/>
    <w:rsid w:val="00CD5AC1"/>
    <w:rsid w:val="00CD5B4F"/>
    <w:rsid w:val="00CE7C61"/>
    <w:rsid w:val="00D01BF7"/>
    <w:rsid w:val="00D17FAC"/>
    <w:rsid w:val="00D254C4"/>
    <w:rsid w:val="00D40725"/>
    <w:rsid w:val="00D45552"/>
    <w:rsid w:val="00D51B3B"/>
    <w:rsid w:val="00D9449F"/>
    <w:rsid w:val="00DB628C"/>
    <w:rsid w:val="00DF7C43"/>
    <w:rsid w:val="00E4199B"/>
    <w:rsid w:val="00E4786E"/>
    <w:rsid w:val="00E525A0"/>
    <w:rsid w:val="00E75A1D"/>
    <w:rsid w:val="00E9147A"/>
    <w:rsid w:val="00E967C8"/>
    <w:rsid w:val="00EB160D"/>
    <w:rsid w:val="00EB4E5A"/>
    <w:rsid w:val="00EE42F5"/>
    <w:rsid w:val="00EE7F4F"/>
    <w:rsid w:val="00F02A56"/>
    <w:rsid w:val="00F118E4"/>
    <w:rsid w:val="00F31746"/>
    <w:rsid w:val="00F4353D"/>
    <w:rsid w:val="00F43D87"/>
    <w:rsid w:val="00F713C6"/>
    <w:rsid w:val="00F74055"/>
    <w:rsid w:val="00FB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4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4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3</cp:revision>
  <cp:lastPrinted>2025-06-21T08:55:00Z</cp:lastPrinted>
  <dcterms:created xsi:type="dcterms:W3CDTF">2025-10-17T19:59:00Z</dcterms:created>
  <dcterms:modified xsi:type="dcterms:W3CDTF">2025-10-17T20:01:00Z</dcterms:modified>
</cp:coreProperties>
</file>